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985C1" w14:textId="0FCD503F" w:rsidR="00D9793A" w:rsidRDefault="00D9793A" w:rsidP="00C011D0">
      <w:pPr>
        <w:spacing w:line="276" w:lineRule="auto"/>
        <w:ind w:left="720"/>
        <w:jc w:val="right"/>
        <w:rPr>
          <w:rFonts w:asciiTheme="majorHAnsi" w:hAnsiTheme="majorHAnsi" w:cs="Arial"/>
          <w:b/>
          <w:szCs w:val="22"/>
          <w:u w:val="single"/>
        </w:rPr>
      </w:pPr>
      <w:r>
        <w:rPr>
          <w:rFonts w:asciiTheme="majorHAnsi" w:hAnsiTheme="majorHAnsi" w:cs="Arial"/>
          <w:b/>
          <w:szCs w:val="22"/>
          <w:u w:val="single"/>
        </w:rPr>
        <w:t>Annexure Dial ‘104’</w:t>
      </w:r>
    </w:p>
    <w:p w14:paraId="7B9144D7" w14:textId="4BF0C384" w:rsidR="00C011D0" w:rsidRDefault="00C011D0" w:rsidP="00C011D0">
      <w:pPr>
        <w:spacing w:line="276" w:lineRule="auto"/>
        <w:ind w:left="720"/>
        <w:jc w:val="right"/>
        <w:rPr>
          <w:rFonts w:asciiTheme="majorHAnsi" w:hAnsiTheme="majorHAnsi" w:cs="Arial"/>
          <w:b/>
          <w:szCs w:val="22"/>
          <w:u w:val="single"/>
        </w:rPr>
      </w:pPr>
      <w:r>
        <w:rPr>
          <w:rFonts w:asciiTheme="majorHAnsi" w:hAnsiTheme="majorHAnsi" w:cs="Arial"/>
          <w:b/>
          <w:szCs w:val="22"/>
          <w:u w:val="single"/>
        </w:rPr>
        <w:t>FMR 13.3.1</w:t>
      </w:r>
    </w:p>
    <w:p w14:paraId="67D2DC80" w14:textId="7E5770DA" w:rsidR="0074001B" w:rsidRPr="007D78BF" w:rsidRDefault="0074001B" w:rsidP="0074001B">
      <w:pPr>
        <w:spacing w:line="276" w:lineRule="auto"/>
        <w:ind w:left="720"/>
        <w:jc w:val="center"/>
        <w:rPr>
          <w:rFonts w:asciiTheme="majorHAnsi" w:hAnsiTheme="majorHAnsi" w:cs="Arial"/>
          <w:b/>
          <w:szCs w:val="22"/>
          <w:u w:val="single"/>
        </w:rPr>
      </w:pPr>
      <w:r w:rsidRPr="007D78BF">
        <w:rPr>
          <w:rFonts w:asciiTheme="majorHAnsi" w:hAnsiTheme="majorHAnsi" w:cs="Arial"/>
          <w:b/>
          <w:szCs w:val="22"/>
          <w:u w:val="single"/>
        </w:rPr>
        <w:t>PROPOSED BUDGET OF 104 MEDICAL HELPLINE (PIP 2020-21)</w:t>
      </w:r>
    </w:p>
    <w:p w14:paraId="1F620846" w14:textId="77777777" w:rsidR="0074001B" w:rsidRPr="00F55BC1" w:rsidRDefault="0074001B" w:rsidP="0074001B">
      <w:pPr>
        <w:spacing w:line="276" w:lineRule="auto"/>
        <w:ind w:left="720"/>
        <w:jc w:val="both"/>
        <w:rPr>
          <w:rFonts w:asciiTheme="majorHAnsi" w:hAnsiTheme="majorHAnsi" w:cs="Arial"/>
          <w:sz w:val="22"/>
          <w:szCs w:val="22"/>
        </w:rPr>
      </w:pPr>
    </w:p>
    <w:p w14:paraId="0EE41CE1" w14:textId="77777777" w:rsidR="0074001B" w:rsidRPr="00F55BC1" w:rsidRDefault="0074001B" w:rsidP="0074001B">
      <w:pPr>
        <w:spacing w:line="360" w:lineRule="auto"/>
        <w:ind w:firstLine="144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The Government of Punjab has set up an inbound Medical Helpline for the convenience of the general public. This call center is functioning round the clock 24X7 </w:t>
      </w:r>
      <w:proofErr w:type="spellStart"/>
      <w:r w:rsidRPr="00F55BC1">
        <w:rPr>
          <w:rStyle w:val="FontStyle49"/>
          <w:rFonts w:asciiTheme="majorHAnsi" w:hAnsiTheme="majorHAnsi"/>
          <w:sz w:val="22"/>
          <w:szCs w:val="22"/>
        </w:rPr>
        <w:t>hrs</w:t>
      </w:r>
      <w:proofErr w:type="spellEnd"/>
      <w:r w:rsidRPr="00F55BC1">
        <w:rPr>
          <w:rStyle w:val="FontStyle49"/>
          <w:rFonts w:asciiTheme="majorHAnsi" w:hAnsiTheme="majorHAnsi"/>
          <w:sz w:val="22"/>
          <w:szCs w:val="22"/>
        </w:rPr>
        <w:t xml:space="preserve"> and in this helpline the services are available in three languages, viz. Punjabi, Hindi and English.     </w:t>
      </w:r>
    </w:p>
    <w:p w14:paraId="6034A719" w14:textId="77777777" w:rsidR="0074001B" w:rsidRPr="00560055" w:rsidRDefault="0074001B" w:rsidP="0074001B">
      <w:pPr>
        <w:spacing w:line="276" w:lineRule="auto"/>
        <w:jc w:val="both"/>
        <w:rPr>
          <w:rStyle w:val="FontStyle49"/>
          <w:rFonts w:asciiTheme="majorHAnsi" w:hAnsiTheme="majorHAnsi"/>
          <w:sz w:val="14"/>
          <w:szCs w:val="22"/>
        </w:rPr>
      </w:pPr>
    </w:p>
    <w:p w14:paraId="5EFB4F3C" w14:textId="77777777" w:rsidR="0074001B" w:rsidRPr="00F55BC1" w:rsidRDefault="0074001B" w:rsidP="0074001B">
      <w:pPr>
        <w:spacing w:line="276" w:lineRule="auto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Name of Service Provider (Leading Member)    : M/s </w:t>
      </w:r>
      <w:proofErr w:type="spellStart"/>
      <w:r w:rsidRPr="00F55BC1">
        <w:rPr>
          <w:rStyle w:val="FontStyle49"/>
          <w:rFonts w:asciiTheme="majorHAnsi" w:hAnsiTheme="majorHAnsi"/>
          <w:sz w:val="22"/>
          <w:szCs w:val="22"/>
        </w:rPr>
        <w:t>Aryabhat</w:t>
      </w:r>
      <w:proofErr w:type="spellEnd"/>
      <w:r w:rsidRPr="00F55BC1">
        <w:rPr>
          <w:rStyle w:val="FontStyle49"/>
          <w:rFonts w:asciiTheme="majorHAnsi" w:hAnsiTheme="majorHAnsi"/>
          <w:sz w:val="22"/>
          <w:szCs w:val="22"/>
        </w:rPr>
        <w:t xml:space="preserve"> Computers, </w:t>
      </w:r>
    </w:p>
    <w:p w14:paraId="6A1B92E0" w14:textId="77777777" w:rsidR="0074001B" w:rsidRPr="00F55BC1" w:rsidRDefault="0074001B" w:rsidP="0074001B">
      <w:pPr>
        <w:spacing w:line="276" w:lineRule="auto"/>
        <w:ind w:left="432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 </w:t>
      </w:r>
      <w:r w:rsidRPr="00F55BC1">
        <w:rPr>
          <w:rStyle w:val="FontStyle49"/>
          <w:rFonts w:asciiTheme="majorHAnsi" w:hAnsiTheme="majorHAnsi"/>
          <w:sz w:val="22"/>
          <w:szCs w:val="22"/>
        </w:rPr>
        <w:t>House No. – 304, Leela Apartment,</w:t>
      </w:r>
    </w:p>
    <w:p w14:paraId="3EDE92A9" w14:textId="77777777" w:rsidR="0074001B" w:rsidRPr="00F55BC1" w:rsidRDefault="0074001B" w:rsidP="0074001B">
      <w:pPr>
        <w:spacing w:line="276" w:lineRule="auto"/>
        <w:ind w:left="3600" w:firstLine="72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 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East Boring Canal Road, </w:t>
      </w:r>
    </w:p>
    <w:p w14:paraId="7BAD3DD3" w14:textId="77777777" w:rsidR="0074001B" w:rsidRPr="00F55BC1" w:rsidRDefault="0074001B" w:rsidP="0074001B">
      <w:pPr>
        <w:spacing w:line="276" w:lineRule="auto"/>
        <w:ind w:left="3600" w:firstLine="72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 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Patna - 800001.    </w:t>
      </w:r>
    </w:p>
    <w:p w14:paraId="4029BF17" w14:textId="77777777" w:rsidR="0074001B" w:rsidRPr="00F55BC1" w:rsidRDefault="0074001B" w:rsidP="0074001B">
      <w:pPr>
        <w:spacing w:line="276" w:lineRule="auto"/>
        <w:ind w:left="2160" w:hanging="2160"/>
        <w:jc w:val="both"/>
        <w:rPr>
          <w:rStyle w:val="FontStyle49"/>
          <w:rFonts w:asciiTheme="majorHAnsi" w:hAnsiTheme="majorHAnsi"/>
          <w:sz w:val="14"/>
          <w:szCs w:val="22"/>
        </w:rPr>
      </w:pPr>
    </w:p>
    <w:p w14:paraId="1C949D84" w14:textId="77777777" w:rsidR="0074001B" w:rsidRPr="00F55BC1" w:rsidRDefault="0074001B" w:rsidP="0074001B">
      <w:pPr>
        <w:spacing w:line="276" w:lineRule="auto"/>
        <w:ind w:left="2160" w:hanging="216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Name of Consortium</w:t>
      </w:r>
      <w:r w:rsidRPr="00F55BC1">
        <w:rPr>
          <w:rStyle w:val="FontStyle49"/>
          <w:rFonts w:asciiTheme="majorHAnsi" w:hAnsiTheme="majorHAnsi"/>
          <w:sz w:val="22"/>
          <w:szCs w:val="22"/>
        </w:rPr>
        <w:tab/>
      </w:r>
      <w:r w:rsidRPr="00F55BC1">
        <w:rPr>
          <w:rStyle w:val="FontStyle49"/>
          <w:rFonts w:asciiTheme="majorHAnsi" w:hAnsiTheme="majorHAnsi"/>
          <w:sz w:val="22"/>
          <w:szCs w:val="22"/>
        </w:rPr>
        <w:tab/>
      </w:r>
      <w:r w:rsidRPr="00F55BC1">
        <w:rPr>
          <w:rStyle w:val="FontStyle49"/>
          <w:rFonts w:asciiTheme="majorHAnsi" w:hAnsiTheme="majorHAnsi"/>
          <w:sz w:val="22"/>
          <w:szCs w:val="22"/>
        </w:rPr>
        <w:tab/>
        <w:t xml:space="preserve">          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  </w:t>
      </w:r>
      <w:proofErr w:type="gramStart"/>
      <w:r w:rsidR="00F55BC1">
        <w:rPr>
          <w:rStyle w:val="FontStyle49"/>
          <w:rFonts w:asciiTheme="majorHAnsi" w:hAnsiTheme="majorHAnsi"/>
          <w:sz w:val="22"/>
          <w:szCs w:val="22"/>
        </w:rPr>
        <w:t xml:space="preserve"> 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:</w:t>
      </w:r>
      <w:proofErr w:type="gramEnd"/>
      <w:r w:rsidR="00F55BC1">
        <w:rPr>
          <w:rStyle w:val="FontStyle49"/>
          <w:rFonts w:asciiTheme="majorHAnsi" w:hAnsiTheme="majorHAnsi"/>
          <w:sz w:val="22"/>
          <w:szCs w:val="22"/>
        </w:rPr>
        <w:t xml:space="preserve">  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M/s HB Software Solutions India Pvt. Ltd., </w:t>
      </w:r>
    </w:p>
    <w:p w14:paraId="0C6B815C" w14:textId="77777777" w:rsidR="0074001B" w:rsidRPr="00F55BC1" w:rsidRDefault="0074001B" w:rsidP="0074001B">
      <w:pPr>
        <w:spacing w:line="276" w:lineRule="auto"/>
        <w:ind w:left="3600" w:firstLine="72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 </w:t>
      </w:r>
      <w:r w:rsidRPr="00F55BC1">
        <w:rPr>
          <w:rStyle w:val="FontStyle49"/>
          <w:rFonts w:asciiTheme="majorHAnsi" w:hAnsiTheme="majorHAnsi"/>
          <w:sz w:val="22"/>
          <w:szCs w:val="22"/>
        </w:rPr>
        <w:t>1</w:t>
      </w:r>
      <w:r w:rsidRPr="00F55BC1">
        <w:rPr>
          <w:rStyle w:val="FontStyle49"/>
          <w:rFonts w:asciiTheme="majorHAnsi" w:hAnsiTheme="majorHAnsi"/>
          <w:sz w:val="22"/>
          <w:szCs w:val="22"/>
          <w:vertAlign w:val="superscript"/>
        </w:rPr>
        <w:t>st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Floor, Infotech Centre,</w:t>
      </w:r>
    </w:p>
    <w:p w14:paraId="134E66F0" w14:textId="77777777" w:rsidR="0074001B" w:rsidRPr="00F55BC1" w:rsidRDefault="0074001B" w:rsidP="0074001B">
      <w:pPr>
        <w:spacing w:line="276" w:lineRule="auto"/>
        <w:ind w:left="3600" w:firstLine="72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 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14/2 Milestone, Old Delhi </w:t>
      </w:r>
      <w:proofErr w:type="spellStart"/>
      <w:r w:rsidRPr="00F55BC1">
        <w:rPr>
          <w:rStyle w:val="FontStyle49"/>
          <w:rFonts w:asciiTheme="majorHAnsi" w:hAnsiTheme="majorHAnsi"/>
          <w:sz w:val="22"/>
          <w:szCs w:val="22"/>
        </w:rPr>
        <w:t>Gurugaon</w:t>
      </w:r>
      <w:proofErr w:type="spellEnd"/>
      <w:r w:rsidRPr="00F55BC1">
        <w:rPr>
          <w:rStyle w:val="FontStyle49"/>
          <w:rFonts w:asciiTheme="majorHAnsi" w:hAnsiTheme="majorHAnsi"/>
          <w:sz w:val="22"/>
          <w:szCs w:val="22"/>
        </w:rPr>
        <w:t xml:space="preserve"> Road,</w:t>
      </w:r>
    </w:p>
    <w:p w14:paraId="41CFC7B9" w14:textId="77777777" w:rsidR="0074001B" w:rsidRPr="00F55BC1" w:rsidRDefault="0074001B" w:rsidP="0074001B">
      <w:pPr>
        <w:spacing w:line="276" w:lineRule="auto"/>
        <w:ind w:left="3600" w:firstLine="72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 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Gurugram – 122016. </w:t>
      </w:r>
    </w:p>
    <w:p w14:paraId="5B2DE96F" w14:textId="77777777" w:rsidR="0074001B" w:rsidRPr="00F55BC1" w:rsidRDefault="0074001B" w:rsidP="0074001B">
      <w:pPr>
        <w:spacing w:line="276" w:lineRule="auto"/>
        <w:ind w:left="4320" w:firstLine="72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</w:t>
      </w:r>
    </w:p>
    <w:p w14:paraId="0B613061" w14:textId="77777777" w:rsidR="0074001B" w:rsidRPr="00F55BC1" w:rsidRDefault="0074001B" w:rsidP="0074001B">
      <w:pPr>
        <w:spacing w:line="276" w:lineRule="auto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Contract Start w.e.f.</w:t>
      </w:r>
      <w:r w:rsidRPr="00F55BC1">
        <w:rPr>
          <w:rStyle w:val="FontStyle49"/>
          <w:rFonts w:asciiTheme="majorHAnsi" w:hAnsiTheme="majorHAnsi"/>
          <w:sz w:val="22"/>
          <w:szCs w:val="22"/>
        </w:rPr>
        <w:tab/>
      </w:r>
      <w:r w:rsidRPr="00F55BC1">
        <w:rPr>
          <w:rStyle w:val="FontStyle49"/>
          <w:rFonts w:asciiTheme="majorHAnsi" w:hAnsiTheme="majorHAnsi"/>
          <w:sz w:val="22"/>
          <w:szCs w:val="22"/>
        </w:rPr>
        <w:tab/>
      </w:r>
      <w:r w:rsidRPr="00F55BC1">
        <w:rPr>
          <w:rStyle w:val="FontStyle49"/>
          <w:rFonts w:asciiTheme="majorHAnsi" w:hAnsiTheme="majorHAnsi"/>
          <w:sz w:val="22"/>
          <w:szCs w:val="22"/>
        </w:rPr>
        <w:tab/>
        <w:t xml:space="preserve">          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  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: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01.10.2017       </w:t>
      </w:r>
    </w:p>
    <w:p w14:paraId="2A899FAE" w14:textId="77777777" w:rsidR="0074001B" w:rsidRPr="00F55BC1" w:rsidRDefault="0074001B" w:rsidP="0074001B">
      <w:pPr>
        <w:spacing w:line="276" w:lineRule="auto"/>
        <w:jc w:val="both"/>
        <w:rPr>
          <w:rStyle w:val="FontStyle49"/>
          <w:rFonts w:asciiTheme="majorHAnsi" w:hAnsiTheme="majorHAnsi"/>
          <w:sz w:val="22"/>
          <w:szCs w:val="22"/>
        </w:rPr>
      </w:pPr>
    </w:p>
    <w:p w14:paraId="7CBF90A7" w14:textId="77777777" w:rsidR="0074001B" w:rsidRPr="00F55BC1" w:rsidRDefault="00F55BC1" w:rsidP="0074001B">
      <w:pPr>
        <w:spacing w:line="276" w:lineRule="auto"/>
        <w:jc w:val="both"/>
        <w:rPr>
          <w:rStyle w:val="FontStyle49"/>
          <w:rFonts w:asciiTheme="majorHAnsi" w:hAnsiTheme="majorHAnsi"/>
          <w:sz w:val="22"/>
          <w:szCs w:val="22"/>
        </w:rPr>
      </w:pPr>
      <w:r>
        <w:rPr>
          <w:rStyle w:val="FontStyle49"/>
          <w:rFonts w:asciiTheme="majorHAnsi" w:hAnsiTheme="majorHAnsi"/>
          <w:sz w:val="22"/>
          <w:szCs w:val="22"/>
        </w:rPr>
        <w:t xml:space="preserve">Contract Period </w:t>
      </w:r>
      <w:r>
        <w:rPr>
          <w:rStyle w:val="FontStyle49"/>
          <w:rFonts w:asciiTheme="majorHAnsi" w:hAnsiTheme="majorHAnsi"/>
          <w:sz w:val="22"/>
          <w:szCs w:val="22"/>
        </w:rPr>
        <w:tab/>
      </w:r>
      <w:r>
        <w:rPr>
          <w:rStyle w:val="FontStyle49"/>
          <w:rFonts w:asciiTheme="majorHAnsi" w:hAnsiTheme="majorHAnsi"/>
          <w:sz w:val="22"/>
          <w:szCs w:val="22"/>
        </w:rPr>
        <w:tab/>
      </w:r>
      <w:r>
        <w:rPr>
          <w:rStyle w:val="FontStyle49"/>
          <w:rFonts w:asciiTheme="majorHAnsi" w:hAnsiTheme="majorHAnsi"/>
          <w:sz w:val="22"/>
          <w:szCs w:val="22"/>
        </w:rPr>
        <w:tab/>
        <w:t xml:space="preserve">               </w:t>
      </w:r>
      <w:r w:rsidR="0074001B" w:rsidRPr="00F55BC1">
        <w:rPr>
          <w:rStyle w:val="FontStyle49"/>
          <w:rFonts w:asciiTheme="majorHAnsi" w:hAnsiTheme="majorHAnsi"/>
          <w:sz w:val="22"/>
          <w:szCs w:val="22"/>
        </w:rPr>
        <w:t>:  3 years</w:t>
      </w:r>
      <w:bookmarkStart w:id="0" w:name="_GoBack"/>
      <w:bookmarkEnd w:id="0"/>
    </w:p>
    <w:p w14:paraId="5C1D4A95" w14:textId="77777777" w:rsidR="0074001B" w:rsidRPr="00F55BC1" w:rsidRDefault="0074001B" w:rsidP="0074001B">
      <w:pPr>
        <w:spacing w:line="276" w:lineRule="auto"/>
        <w:jc w:val="both"/>
        <w:rPr>
          <w:rStyle w:val="FontStyle49"/>
          <w:rFonts w:asciiTheme="majorHAnsi" w:hAnsiTheme="majorHAnsi"/>
          <w:sz w:val="22"/>
          <w:szCs w:val="22"/>
        </w:rPr>
      </w:pPr>
    </w:p>
    <w:p w14:paraId="6AC30FF7" w14:textId="77777777" w:rsidR="0074001B" w:rsidRPr="00F55BC1" w:rsidRDefault="0074001B" w:rsidP="0074001B">
      <w:pPr>
        <w:spacing w:line="276" w:lineRule="auto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Toll Free Number for 24x7 call centre</w:t>
      </w:r>
      <w:r w:rsidRPr="00F55BC1">
        <w:rPr>
          <w:rStyle w:val="FontStyle49"/>
          <w:rFonts w:asciiTheme="majorHAnsi" w:hAnsiTheme="majorHAnsi"/>
          <w:sz w:val="22"/>
          <w:szCs w:val="22"/>
        </w:rPr>
        <w:tab/>
        <w:t xml:space="preserve">          </w:t>
      </w:r>
      <w:r w:rsidR="00F55BC1">
        <w:rPr>
          <w:rStyle w:val="FontStyle49"/>
          <w:rFonts w:asciiTheme="majorHAnsi" w:hAnsiTheme="majorHAnsi"/>
          <w:sz w:val="22"/>
          <w:szCs w:val="22"/>
        </w:rPr>
        <w:t xml:space="preserve">    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:   Dial '104'</w:t>
      </w:r>
    </w:p>
    <w:p w14:paraId="58486EC4" w14:textId="77777777" w:rsidR="0074001B" w:rsidRPr="00F55BC1" w:rsidRDefault="0074001B" w:rsidP="0074001B">
      <w:pPr>
        <w:spacing w:line="276" w:lineRule="auto"/>
        <w:jc w:val="both"/>
        <w:rPr>
          <w:rStyle w:val="FontStyle49"/>
          <w:rFonts w:asciiTheme="majorHAnsi" w:hAnsiTheme="majorHAnsi"/>
          <w:sz w:val="16"/>
          <w:szCs w:val="22"/>
        </w:rPr>
      </w:pPr>
    </w:p>
    <w:p w14:paraId="6DCE2E97" w14:textId="77777777" w:rsidR="0074001B" w:rsidRPr="00F55BC1" w:rsidRDefault="0074001B" w:rsidP="0074001B">
      <w:pPr>
        <w:jc w:val="both"/>
        <w:rPr>
          <w:rStyle w:val="FontStyle49"/>
          <w:rFonts w:asciiTheme="majorHAnsi" w:eastAsia="Calibr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Scope of Work   :     </w:t>
      </w:r>
      <w:r w:rsidRPr="00F55BC1">
        <w:rPr>
          <w:rStyle w:val="FontStyle49"/>
          <w:rFonts w:asciiTheme="majorHAnsi" w:eastAsia="Calibri" w:hAnsiTheme="majorHAnsi"/>
          <w:sz w:val="22"/>
          <w:szCs w:val="22"/>
        </w:rPr>
        <w:t xml:space="preserve">The aim is to provide information or advice for health related services to </w:t>
      </w:r>
    </w:p>
    <w:p w14:paraId="19DE4B72" w14:textId="77777777" w:rsidR="0074001B" w:rsidRPr="00F55BC1" w:rsidRDefault="0074001B" w:rsidP="0074001B">
      <w:pPr>
        <w:ind w:left="900" w:firstLine="720"/>
        <w:jc w:val="both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eastAsia="Calibri" w:hAnsiTheme="majorHAnsi"/>
          <w:sz w:val="22"/>
          <w:szCs w:val="22"/>
        </w:rPr>
        <w:t xml:space="preserve"> </w:t>
      </w:r>
      <w:r w:rsidR="00F55BC1">
        <w:rPr>
          <w:rStyle w:val="FontStyle49"/>
          <w:rFonts w:asciiTheme="majorHAnsi" w:eastAsia="Calibri" w:hAnsiTheme="majorHAnsi"/>
          <w:sz w:val="22"/>
          <w:szCs w:val="22"/>
        </w:rPr>
        <w:t xml:space="preserve">   </w:t>
      </w:r>
      <w:r w:rsidRPr="00F55BC1">
        <w:rPr>
          <w:rStyle w:val="FontStyle49"/>
          <w:rFonts w:asciiTheme="majorHAnsi" w:eastAsia="Calibri" w:hAnsiTheme="majorHAnsi"/>
          <w:sz w:val="22"/>
          <w:szCs w:val="22"/>
        </w:rPr>
        <w:t>general public</w:t>
      </w:r>
      <w:r w:rsidRPr="00F55BC1">
        <w:rPr>
          <w:rStyle w:val="FontStyle49"/>
          <w:rFonts w:asciiTheme="majorHAnsi" w:hAnsiTheme="majorHAnsi"/>
          <w:sz w:val="22"/>
          <w:szCs w:val="22"/>
        </w:rPr>
        <w:t xml:space="preserve"> about queries in the following areas:</w:t>
      </w:r>
    </w:p>
    <w:p w14:paraId="0001202C" w14:textId="77777777" w:rsidR="0074001B" w:rsidRPr="00F55BC1" w:rsidRDefault="0074001B" w:rsidP="0074001B">
      <w:pPr>
        <w:pStyle w:val="Style22"/>
        <w:widowControl/>
        <w:numPr>
          <w:ilvl w:val="0"/>
          <w:numId w:val="2"/>
        </w:numPr>
        <w:spacing w:before="293" w:line="240" w:lineRule="auto"/>
        <w:ind w:right="53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Information Directory for tracking health services providers/institutions, diagnostic services, </w:t>
      </w:r>
      <w:r w:rsidR="00F55BC1" w:rsidRPr="00F55BC1">
        <w:rPr>
          <w:rStyle w:val="FontStyle49"/>
          <w:rFonts w:asciiTheme="majorHAnsi" w:hAnsiTheme="majorHAnsi"/>
          <w:sz w:val="22"/>
          <w:szCs w:val="22"/>
        </w:rPr>
        <w:t xml:space="preserve">Drug De-Addiction, </w:t>
      </w:r>
      <w:r w:rsidRPr="00F55BC1">
        <w:rPr>
          <w:rStyle w:val="FontStyle49"/>
          <w:rFonts w:asciiTheme="majorHAnsi" w:hAnsiTheme="majorHAnsi"/>
          <w:sz w:val="22"/>
          <w:szCs w:val="22"/>
        </w:rPr>
        <w:t>hospitals etc.</w:t>
      </w:r>
    </w:p>
    <w:p w14:paraId="463BDD99" w14:textId="77777777" w:rsidR="0074001B" w:rsidRPr="00F55BC1" w:rsidRDefault="0074001B" w:rsidP="0074001B">
      <w:pPr>
        <w:pStyle w:val="Style22"/>
        <w:widowControl/>
        <w:numPr>
          <w:ilvl w:val="0"/>
          <w:numId w:val="2"/>
        </w:numPr>
        <w:spacing w:before="230" w:line="240" w:lineRule="auto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Complaint Registration about person/institution relating to deficiency of services, negligence, corruption, etc. in government healthcare institutions.</w:t>
      </w:r>
    </w:p>
    <w:p w14:paraId="01B11778" w14:textId="77777777" w:rsidR="0074001B" w:rsidRPr="00F55BC1" w:rsidRDefault="0074001B" w:rsidP="0074001B">
      <w:pPr>
        <w:ind w:left="1620"/>
        <w:jc w:val="both"/>
        <w:rPr>
          <w:rFonts w:asciiTheme="majorHAnsi" w:eastAsia="Calibri" w:hAnsiTheme="majorHAnsi"/>
          <w:sz w:val="22"/>
          <w:szCs w:val="22"/>
        </w:rPr>
      </w:pPr>
    </w:p>
    <w:p w14:paraId="01DE129E" w14:textId="77777777" w:rsidR="0074001B" w:rsidRPr="00F55BC1" w:rsidRDefault="0074001B" w:rsidP="0074001B">
      <w:pPr>
        <w:pStyle w:val="Style22"/>
        <w:widowControl/>
        <w:numPr>
          <w:ilvl w:val="0"/>
          <w:numId w:val="2"/>
        </w:numPr>
        <w:tabs>
          <w:tab w:val="left" w:pos="269"/>
        </w:tabs>
        <w:spacing w:before="43" w:line="240" w:lineRule="auto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Advice on long term ill conditions like diabetes, heart issues etc.</w:t>
      </w:r>
    </w:p>
    <w:p w14:paraId="3F7CD778" w14:textId="77777777" w:rsidR="0074001B" w:rsidRPr="00F55BC1" w:rsidRDefault="0074001B" w:rsidP="0074001B">
      <w:pPr>
        <w:pStyle w:val="Style22"/>
        <w:widowControl/>
        <w:tabs>
          <w:tab w:val="left" w:pos="269"/>
        </w:tabs>
        <w:spacing w:before="43" w:line="240" w:lineRule="auto"/>
        <w:ind w:left="2160"/>
        <w:rPr>
          <w:rStyle w:val="FontStyle49"/>
          <w:rFonts w:asciiTheme="majorHAnsi" w:hAnsiTheme="majorHAnsi"/>
          <w:sz w:val="22"/>
          <w:szCs w:val="22"/>
        </w:rPr>
      </w:pPr>
    </w:p>
    <w:p w14:paraId="3362FD8B" w14:textId="77777777" w:rsidR="0074001B" w:rsidRPr="00F55BC1" w:rsidRDefault="0074001B" w:rsidP="0074001B">
      <w:pPr>
        <w:pStyle w:val="Style22"/>
        <w:widowControl/>
        <w:numPr>
          <w:ilvl w:val="0"/>
          <w:numId w:val="2"/>
        </w:numPr>
        <w:tabs>
          <w:tab w:val="left" w:pos="269"/>
        </w:tabs>
        <w:spacing w:line="240" w:lineRule="auto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Response to health scares and other localized epidemics.</w:t>
      </w:r>
    </w:p>
    <w:p w14:paraId="77A57F5B" w14:textId="77777777" w:rsidR="0074001B" w:rsidRPr="00F55BC1" w:rsidRDefault="0074001B" w:rsidP="0074001B">
      <w:pPr>
        <w:pStyle w:val="Style22"/>
        <w:widowControl/>
        <w:tabs>
          <w:tab w:val="left" w:pos="269"/>
        </w:tabs>
        <w:spacing w:line="240" w:lineRule="auto"/>
        <w:rPr>
          <w:rStyle w:val="FontStyle49"/>
          <w:rFonts w:asciiTheme="majorHAnsi" w:hAnsiTheme="majorHAnsi"/>
          <w:sz w:val="22"/>
          <w:szCs w:val="22"/>
        </w:rPr>
      </w:pPr>
    </w:p>
    <w:p w14:paraId="2313B94D" w14:textId="77777777" w:rsidR="0074001B" w:rsidRPr="00F55BC1" w:rsidRDefault="0074001B" w:rsidP="0074001B">
      <w:pPr>
        <w:pStyle w:val="Style22"/>
        <w:widowControl/>
        <w:numPr>
          <w:ilvl w:val="0"/>
          <w:numId w:val="2"/>
        </w:numPr>
        <w:tabs>
          <w:tab w:val="left" w:pos="269"/>
        </w:tabs>
        <w:spacing w:line="240" w:lineRule="auto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Counseling and advice (stress, depression, anxiety, post-trauma recovery, HIV, AIDS, </w:t>
      </w:r>
      <w:smartTag w:uri="urn:schemas-microsoft-com:office:smarttags" w:element="stockticker">
        <w:r w:rsidRPr="00F55BC1">
          <w:rPr>
            <w:rStyle w:val="FontStyle49"/>
            <w:rFonts w:asciiTheme="majorHAnsi" w:hAnsiTheme="majorHAnsi"/>
            <w:sz w:val="22"/>
            <w:szCs w:val="22"/>
          </w:rPr>
          <w:t>RTI</w:t>
        </w:r>
      </w:smartTag>
      <w:r w:rsidRPr="00F55BC1">
        <w:rPr>
          <w:rStyle w:val="FontStyle49"/>
          <w:rFonts w:asciiTheme="majorHAnsi" w:hAnsiTheme="majorHAnsi"/>
          <w:sz w:val="22"/>
          <w:szCs w:val="22"/>
        </w:rPr>
        <w:t>, STI etc.)</w:t>
      </w:r>
    </w:p>
    <w:p w14:paraId="46B88089" w14:textId="77777777" w:rsidR="0074001B" w:rsidRPr="00F55BC1" w:rsidRDefault="0074001B" w:rsidP="0074001B">
      <w:pPr>
        <w:pStyle w:val="Style22"/>
        <w:widowControl/>
        <w:numPr>
          <w:ilvl w:val="0"/>
          <w:numId w:val="2"/>
        </w:numPr>
        <w:tabs>
          <w:tab w:val="left" w:pos="269"/>
        </w:tabs>
        <w:spacing w:before="235" w:line="240" w:lineRule="auto"/>
        <w:ind w:right="29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 xml:space="preserve">Health and symptoms checker (initial assessment, flu advice, pregnancy related information </w:t>
      </w:r>
      <w:proofErr w:type="spellStart"/>
      <w:r w:rsidRPr="00F55BC1">
        <w:rPr>
          <w:rStyle w:val="FontStyle49"/>
          <w:rFonts w:asciiTheme="majorHAnsi" w:hAnsiTheme="majorHAnsi"/>
          <w:sz w:val="22"/>
          <w:szCs w:val="22"/>
        </w:rPr>
        <w:t>etc</w:t>
      </w:r>
      <w:proofErr w:type="spellEnd"/>
      <w:r w:rsidRPr="00F55BC1">
        <w:rPr>
          <w:rStyle w:val="FontStyle49"/>
          <w:rFonts w:asciiTheme="majorHAnsi" w:hAnsiTheme="majorHAnsi"/>
          <w:sz w:val="22"/>
          <w:szCs w:val="22"/>
        </w:rPr>
        <w:t>)</w:t>
      </w:r>
    </w:p>
    <w:p w14:paraId="2F27DF23" w14:textId="77777777" w:rsidR="0074001B" w:rsidRPr="00F55BC1" w:rsidRDefault="00F55BC1" w:rsidP="0074001B">
      <w:pPr>
        <w:pStyle w:val="Style22"/>
        <w:widowControl/>
        <w:numPr>
          <w:ilvl w:val="0"/>
          <w:numId w:val="2"/>
        </w:numPr>
        <w:tabs>
          <w:tab w:val="left" w:pos="269"/>
        </w:tabs>
        <w:spacing w:before="250" w:line="240" w:lineRule="auto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Tie-up with 108 Ambulances and other emergency or non-emergency numbers.</w:t>
      </w:r>
    </w:p>
    <w:p w14:paraId="27A8139D" w14:textId="77777777" w:rsidR="006D57FC" w:rsidRPr="00F55BC1" w:rsidRDefault="006D57FC" w:rsidP="006D57FC">
      <w:pPr>
        <w:pStyle w:val="Style22"/>
        <w:widowControl/>
        <w:numPr>
          <w:ilvl w:val="0"/>
          <w:numId w:val="2"/>
        </w:numPr>
        <w:tabs>
          <w:tab w:val="left" w:pos="269"/>
        </w:tabs>
        <w:spacing w:before="250" w:line="240" w:lineRule="auto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Calling for RCH/MCTS/High Risk Pregnancy – To advice regarding Mother Care/Child Care/Long term diseases etc.</w:t>
      </w:r>
    </w:p>
    <w:p w14:paraId="760535F7" w14:textId="77777777" w:rsidR="00F55BC1" w:rsidRPr="00F55BC1" w:rsidRDefault="00F55BC1" w:rsidP="006D57FC">
      <w:pPr>
        <w:pStyle w:val="Style22"/>
        <w:widowControl/>
        <w:numPr>
          <w:ilvl w:val="0"/>
          <w:numId w:val="2"/>
        </w:numPr>
        <w:tabs>
          <w:tab w:val="left" w:pos="269"/>
        </w:tabs>
        <w:spacing w:before="250" w:line="240" w:lineRule="auto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First aid information and advice.</w:t>
      </w:r>
    </w:p>
    <w:p w14:paraId="40F42CF5" w14:textId="77777777" w:rsidR="00F55BC1" w:rsidRDefault="0074001B" w:rsidP="0074001B">
      <w:pPr>
        <w:pStyle w:val="Style22"/>
        <w:widowControl/>
        <w:numPr>
          <w:ilvl w:val="0"/>
          <w:numId w:val="2"/>
        </w:numPr>
        <w:tabs>
          <w:tab w:val="left" w:pos="269"/>
        </w:tabs>
        <w:spacing w:before="259" w:line="276" w:lineRule="auto"/>
        <w:rPr>
          <w:rStyle w:val="FontStyle49"/>
          <w:rFonts w:asciiTheme="majorHAnsi" w:hAnsiTheme="majorHAnsi"/>
          <w:sz w:val="22"/>
          <w:szCs w:val="22"/>
        </w:rPr>
      </w:pPr>
      <w:r w:rsidRPr="00F55BC1">
        <w:rPr>
          <w:rStyle w:val="FontStyle49"/>
          <w:rFonts w:asciiTheme="majorHAnsi" w:hAnsiTheme="majorHAnsi"/>
          <w:sz w:val="22"/>
          <w:szCs w:val="22"/>
        </w:rPr>
        <w:t>Any other health related services/issues.</w:t>
      </w:r>
    </w:p>
    <w:p w14:paraId="726D7FF4" w14:textId="77777777" w:rsidR="00F55BC1" w:rsidRPr="00F55BC1" w:rsidRDefault="00560055" w:rsidP="00560055">
      <w:pPr>
        <w:pStyle w:val="Style22"/>
        <w:widowControl/>
        <w:tabs>
          <w:tab w:val="left" w:pos="269"/>
        </w:tabs>
        <w:spacing w:before="259" w:line="276" w:lineRule="auto"/>
        <w:ind w:left="2340"/>
        <w:jc w:val="right"/>
        <w:rPr>
          <w:rStyle w:val="FontStyle49"/>
          <w:rFonts w:asciiTheme="majorHAnsi" w:hAnsiTheme="majorHAnsi"/>
          <w:sz w:val="22"/>
          <w:szCs w:val="22"/>
        </w:rPr>
      </w:pPr>
      <w:r>
        <w:rPr>
          <w:rStyle w:val="FontStyle49"/>
          <w:rFonts w:asciiTheme="majorHAnsi" w:hAnsiTheme="majorHAnsi"/>
          <w:sz w:val="22"/>
          <w:szCs w:val="22"/>
        </w:rPr>
        <w:t>Conti.,</w:t>
      </w:r>
    </w:p>
    <w:p w14:paraId="190488DC" w14:textId="77777777" w:rsidR="00590B67" w:rsidRDefault="007D78BF" w:rsidP="00F55BC1">
      <w:pPr>
        <w:pStyle w:val="Style22"/>
        <w:widowControl/>
        <w:tabs>
          <w:tab w:val="left" w:pos="269"/>
        </w:tabs>
        <w:spacing w:before="259" w:line="276" w:lineRule="auto"/>
        <w:ind w:left="2340"/>
        <w:rPr>
          <w:rStyle w:val="FontStyle49"/>
          <w:rFonts w:asciiTheme="majorHAnsi" w:hAnsiTheme="majorHAnsi"/>
          <w:sz w:val="22"/>
          <w:szCs w:val="22"/>
        </w:rPr>
      </w:pPr>
      <w:r>
        <w:rPr>
          <w:rStyle w:val="FontStyle49"/>
          <w:rFonts w:asciiTheme="majorHAnsi" w:hAnsiTheme="majorHAnsi"/>
          <w:sz w:val="22"/>
          <w:szCs w:val="22"/>
        </w:rPr>
        <w:tab/>
      </w:r>
      <w:r>
        <w:rPr>
          <w:rStyle w:val="FontStyle49"/>
          <w:rFonts w:asciiTheme="majorHAnsi" w:hAnsiTheme="majorHAnsi"/>
          <w:sz w:val="22"/>
          <w:szCs w:val="22"/>
        </w:rPr>
        <w:tab/>
      </w:r>
      <w:r>
        <w:rPr>
          <w:rStyle w:val="FontStyle49"/>
          <w:rFonts w:asciiTheme="majorHAnsi" w:hAnsiTheme="majorHAnsi"/>
          <w:sz w:val="22"/>
          <w:szCs w:val="22"/>
        </w:rPr>
        <w:tab/>
      </w:r>
    </w:p>
    <w:p w14:paraId="37ACFA7C" w14:textId="77777777" w:rsidR="00590B67" w:rsidRDefault="00590B67">
      <w:pPr>
        <w:spacing w:after="200" w:line="276" w:lineRule="auto"/>
        <w:rPr>
          <w:rStyle w:val="FontStyle49"/>
          <w:rFonts w:asciiTheme="majorHAnsi" w:hAnsiTheme="majorHAnsi"/>
          <w:sz w:val="22"/>
          <w:szCs w:val="22"/>
          <w:lang w:bidi="hi-IN"/>
        </w:rPr>
      </w:pPr>
      <w:r>
        <w:rPr>
          <w:rStyle w:val="FontStyle49"/>
          <w:rFonts w:asciiTheme="majorHAnsi" w:hAnsiTheme="majorHAnsi"/>
          <w:sz w:val="22"/>
          <w:szCs w:val="22"/>
        </w:rPr>
        <w:br w:type="page"/>
      </w:r>
    </w:p>
    <w:p w14:paraId="6DD2A262" w14:textId="02123FD7" w:rsidR="00F55BC1" w:rsidRDefault="00560055" w:rsidP="00590B67">
      <w:pPr>
        <w:pStyle w:val="Style22"/>
        <w:widowControl/>
        <w:spacing w:before="259" w:line="276" w:lineRule="auto"/>
        <w:jc w:val="center"/>
        <w:rPr>
          <w:rStyle w:val="FontStyle49"/>
          <w:rFonts w:asciiTheme="majorHAnsi" w:hAnsiTheme="majorHAnsi"/>
          <w:sz w:val="22"/>
          <w:szCs w:val="22"/>
        </w:rPr>
      </w:pPr>
      <w:r>
        <w:rPr>
          <w:rStyle w:val="FontStyle49"/>
          <w:rFonts w:asciiTheme="majorHAnsi" w:hAnsiTheme="majorHAnsi"/>
          <w:sz w:val="22"/>
          <w:szCs w:val="22"/>
        </w:rPr>
        <w:lastRenderedPageBreak/>
        <w:t>-2-</w:t>
      </w:r>
    </w:p>
    <w:p w14:paraId="44AC756C" w14:textId="77777777" w:rsidR="00F72DDB" w:rsidRPr="00F72DDB" w:rsidRDefault="00F72DDB" w:rsidP="00F72DDB">
      <w:pPr>
        <w:pStyle w:val="Style22"/>
        <w:widowControl/>
        <w:tabs>
          <w:tab w:val="left" w:pos="269"/>
        </w:tabs>
        <w:spacing w:before="259" w:line="276" w:lineRule="auto"/>
        <w:rPr>
          <w:rStyle w:val="FontStyle49"/>
          <w:rFonts w:asciiTheme="majorHAnsi" w:hAnsiTheme="majorHAnsi"/>
          <w:b/>
          <w:szCs w:val="22"/>
          <w:u w:val="single"/>
        </w:rPr>
      </w:pPr>
      <w:r>
        <w:rPr>
          <w:rStyle w:val="FontStyle49"/>
          <w:rFonts w:asciiTheme="majorHAnsi" w:hAnsiTheme="majorHAnsi"/>
          <w:sz w:val="22"/>
          <w:szCs w:val="22"/>
        </w:rPr>
        <w:tab/>
      </w:r>
      <w:r w:rsidRPr="00F72DDB">
        <w:rPr>
          <w:rStyle w:val="FontStyle49"/>
          <w:rFonts w:asciiTheme="majorHAnsi" w:hAnsiTheme="majorHAnsi"/>
          <w:b/>
          <w:szCs w:val="22"/>
        </w:rPr>
        <w:t xml:space="preserve">    </w:t>
      </w:r>
      <w:r>
        <w:rPr>
          <w:rStyle w:val="FontStyle49"/>
          <w:rFonts w:asciiTheme="majorHAnsi" w:hAnsiTheme="majorHAnsi"/>
          <w:b/>
          <w:szCs w:val="22"/>
          <w:u w:val="single"/>
        </w:rPr>
        <w:t>OPEX</w:t>
      </w:r>
      <w:r w:rsidRPr="00F72DDB">
        <w:rPr>
          <w:rStyle w:val="FontStyle49"/>
          <w:rFonts w:asciiTheme="majorHAnsi" w:hAnsiTheme="majorHAnsi"/>
          <w:b/>
          <w:szCs w:val="22"/>
          <w:u w:val="single"/>
        </w:rPr>
        <w:t xml:space="preserve"> of 13 Seats</w:t>
      </w:r>
    </w:p>
    <w:p w14:paraId="272198C3" w14:textId="77777777" w:rsidR="00560055" w:rsidRPr="00F72DDB" w:rsidRDefault="00560055" w:rsidP="00F55BC1">
      <w:pPr>
        <w:pStyle w:val="Style22"/>
        <w:widowControl/>
        <w:tabs>
          <w:tab w:val="left" w:pos="269"/>
        </w:tabs>
        <w:spacing w:before="259" w:line="276" w:lineRule="auto"/>
        <w:ind w:left="2340"/>
        <w:rPr>
          <w:rStyle w:val="FontStyle49"/>
          <w:rFonts w:asciiTheme="majorHAnsi" w:hAnsiTheme="majorHAnsi"/>
          <w:sz w:val="14"/>
          <w:szCs w:val="22"/>
        </w:rPr>
      </w:pPr>
    </w:p>
    <w:tbl>
      <w:tblPr>
        <w:tblStyle w:val="TableGrid"/>
        <w:tblW w:w="855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250"/>
        <w:gridCol w:w="1350"/>
        <w:gridCol w:w="1440"/>
        <w:gridCol w:w="1710"/>
        <w:gridCol w:w="1800"/>
      </w:tblGrid>
      <w:tr w:rsidR="00560055" w:rsidRPr="00F55BC1" w14:paraId="530FFAB4" w14:textId="77777777" w:rsidTr="00F72DDB">
        <w:tc>
          <w:tcPr>
            <w:tcW w:w="2250" w:type="dxa"/>
          </w:tcPr>
          <w:p w14:paraId="4EEE333A" w14:textId="77777777" w:rsidR="0074001B" w:rsidRPr="00F55BC1" w:rsidRDefault="00F55BC1" w:rsidP="00495D4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Style w:val="FontStyle49"/>
                <w:rFonts w:asciiTheme="majorHAnsi" w:hAnsiTheme="majorHAnsi"/>
                <w:sz w:val="22"/>
                <w:szCs w:val="22"/>
              </w:rPr>
              <w:br w:type="page"/>
            </w:r>
            <w:r w:rsidR="0074001B" w:rsidRPr="00F55BC1">
              <w:rPr>
                <w:rFonts w:asciiTheme="majorHAnsi" w:hAnsiTheme="majorHAnsi"/>
                <w:b/>
              </w:rPr>
              <w:t>Brief Description of Services</w:t>
            </w:r>
          </w:p>
        </w:tc>
        <w:tc>
          <w:tcPr>
            <w:tcW w:w="1350" w:type="dxa"/>
          </w:tcPr>
          <w:p w14:paraId="23300F5D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>Cost per seat per month</w:t>
            </w:r>
          </w:p>
        </w:tc>
        <w:tc>
          <w:tcPr>
            <w:tcW w:w="1440" w:type="dxa"/>
          </w:tcPr>
          <w:p w14:paraId="05CA2DB8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>IGST@18%</w:t>
            </w:r>
          </w:p>
          <w:p w14:paraId="38489189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>(per seat )</w:t>
            </w:r>
          </w:p>
          <w:p w14:paraId="5303F642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10" w:type="dxa"/>
          </w:tcPr>
          <w:p w14:paraId="5A0B1260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>Total Cost for 1</w:t>
            </w:r>
            <w:r w:rsidR="00F55BC1">
              <w:rPr>
                <w:rFonts w:asciiTheme="majorHAnsi" w:hAnsiTheme="majorHAnsi"/>
                <w:b/>
              </w:rPr>
              <w:t>3</w:t>
            </w:r>
            <w:r w:rsidRPr="00F55BC1">
              <w:rPr>
                <w:rFonts w:asciiTheme="majorHAnsi" w:hAnsiTheme="majorHAnsi"/>
                <w:b/>
              </w:rPr>
              <w:t xml:space="preserve"> seats (including tax)</w:t>
            </w:r>
          </w:p>
          <w:p w14:paraId="75CCC2E4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 xml:space="preserve">(Rs.) </w:t>
            </w:r>
          </w:p>
        </w:tc>
        <w:tc>
          <w:tcPr>
            <w:tcW w:w="1800" w:type="dxa"/>
          </w:tcPr>
          <w:p w14:paraId="4B5D92BF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>Annual Budget (20</w:t>
            </w:r>
            <w:r w:rsidR="00F55BC1">
              <w:rPr>
                <w:rFonts w:asciiTheme="majorHAnsi" w:hAnsiTheme="majorHAnsi"/>
                <w:b/>
              </w:rPr>
              <w:t>20-21</w:t>
            </w:r>
            <w:r w:rsidRPr="00F55BC1">
              <w:rPr>
                <w:rFonts w:asciiTheme="majorHAnsi" w:hAnsiTheme="majorHAnsi"/>
                <w:b/>
              </w:rPr>
              <w:t>)</w:t>
            </w:r>
          </w:p>
          <w:p w14:paraId="5FD39535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>(Rs.)</w:t>
            </w:r>
          </w:p>
        </w:tc>
      </w:tr>
      <w:tr w:rsidR="00560055" w:rsidRPr="00F55BC1" w14:paraId="2FC15E9A" w14:textId="77777777" w:rsidTr="00F72DDB">
        <w:tc>
          <w:tcPr>
            <w:tcW w:w="2250" w:type="dxa"/>
          </w:tcPr>
          <w:p w14:paraId="2711AD2D" w14:textId="77777777" w:rsidR="0074001B" w:rsidRPr="00F55BC1" w:rsidRDefault="0074001B" w:rsidP="00F72DDB">
            <w:pPr>
              <w:spacing w:line="360" w:lineRule="auto"/>
              <w:rPr>
                <w:rFonts w:asciiTheme="majorHAnsi" w:hAnsiTheme="majorHAnsi"/>
              </w:rPr>
            </w:pPr>
            <w:r w:rsidRPr="00F55BC1">
              <w:rPr>
                <w:rFonts w:asciiTheme="majorHAnsi" w:hAnsiTheme="majorHAnsi"/>
              </w:rPr>
              <w:t>104 Medical Helpline  (1</w:t>
            </w:r>
            <w:r w:rsidR="00F72DDB">
              <w:rPr>
                <w:rFonts w:asciiTheme="majorHAnsi" w:hAnsiTheme="majorHAnsi"/>
              </w:rPr>
              <w:t>0</w:t>
            </w:r>
            <w:r w:rsidR="009F739F">
              <w:rPr>
                <w:rFonts w:asciiTheme="majorHAnsi" w:hAnsiTheme="majorHAnsi"/>
              </w:rPr>
              <w:t xml:space="preserve"> existing </w:t>
            </w:r>
            <w:r w:rsidR="00F72DDB">
              <w:rPr>
                <w:rFonts w:asciiTheme="majorHAnsi" w:hAnsiTheme="majorHAnsi"/>
              </w:rPr>
              <w:t>+</w:t>
            </w:r>
            <w:r w:rsidR="009F739F">
              <w:rPr>
                <w:rFonts w:asciiTheme="majorHAnsi" w:hAnsiTheme="majorHAnsi"/>
              </w:rPr>
              <w:t xml:space="preserve"> </w:t>
            </w:r>
            <w:r w:rsidR="00F72DDB">
              <w:rPr>
                <w:rFonts w:asciiTheme="majorHAnsi" w:hAnsiTheme="majorHAnsi"/>
              </w:rPr>
              <w:t>3</w:t>
            </w:r>
            <w:r w:rsidR="009F739F">
              <w:rPr>
                <w:rFonts w:asciiTheme="majorHAnsi" w:hAnsiTheme="majorHAnsi"/>
              </w:rPr>
              <w:t xml:space="preserve"> new</w:t>
            </w:r>
            <w:r w:rsidRPr="00F55BC1">
              <w:rPr>
                <w:rFonts w:asciiTheme="majorHAnsi" w:hAnsiTheme="majorHAnsi"/>
              </w:rPr>
              <w:t xml:space="preserve"> Seats)</w:t>
            </w:r>
          </w:p>
        </w:tc>
        <w:tc>
          <w:tcPr>
            <w:tcW w:w="1350" w:type="dxa"/>
          </w:tcPr>
          <w:p w14:paraId="6C2D4C65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55BC1">
              <w:rPr>
                <w:rFonts w:asciiTheme="majorHAnsi" w:hAnsiTheme="majorHAnsi"/>
              </w:rPr>
              <w:t>67,797/-</w:t>
            </w:r>
          </w:p>
        </w:tc>
        <w:tc>
          <w:tcPr>
            <w:tcW w:w="1440" w:type="dxa"/>
          </w:tcPr>
          <w:p w14:paraId="20D8AF9C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55BC1">
              <w:rPr>
                <w:rFonts w:asciiTheme="majorHAnsi" w:hAnsiTheme="majorHAnsi"/>
              </w:rPr>
              <w:t>12,203/-</w:t>
            </w:r>
          </w:p>
        </w:tc>
        <w:tc>
          <w:tcPr>
            <w:tcW w:w="1710" w:type="dxa"/>
          </w:tcPr>
          <w:p w14:paraId="33D5C352" w14:textId="77777777" w:rsidR="0074001B" w:rsidRPr="00F55BC1" w:rsidRDefault="0074001B" w:rsidP="00495D4F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55BC1">
              <w:rPr>
                <w:rFonts w:asciiTheme="majorHAnsi" w:hAnsiTheme="majorHAnsi"/>
              </w:rPr>
              <w:t>10,40,000/-</w:t>
            </w:r>
          </w:p>
        </w:tc>
        <w:tc>
          <w:tcPr>
            <w:tcW w:w="1800" w:type="dxa"/>
          </w:tcPr>
          <w:p w14:paraId="2AB2FDDA" w14:textId="77777777" w:rsidR="0074001B" w:rsidRPr="00F55BC1" w:rsidRDefault="00230730" w:rsidP="00230730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55BC1">
              <w:rPr>
                <w:rFonts w:asciiTheme="majorHAnsi" w:hAnsiTheme="majorHAnsi"/>
              </w:rPr>
              <w:t>1,24</w:t>
            </w:r>
            <w:r w:rsidR="0074001B" w:rsidRPr="00F55BC1">
              <w:rPr>
                <w:rFonts w:asciiTheme="majorHAnsi" w:hAnsiTheme="majorHAnsi"/>
              </w:rPr>
              <w:t>,</w:t>
            </w:r>
            <w:r w:rsidRPr="00F55BC1">
              <w:rPr>
                <w:rFonts w:asciiTheme="majorHAnsi" w:hAnsiTheme="majorHAnsi"/>
              </w:rPr>
              <w:t>8</w:t>
            </w:r>
            <w:r w:rsidR="0074001B" w:rsidRPr="00F55BC1">
              <w:rPr>
                <w:rFonts w:asciiTheme="majorHAnsi" w:hAnsiTheme="majorHAnsi"/>
              </w:rPr>
              <w:t>0,000/-</w:t>
            </w:r>
          </w:p>
        </w:tc>
      </w:tr>
      <w:tr w:rsidR="0074001B" w:rsidRPr="00F55BC1" w14:paraId="38B77508" w14:textId="77777777" w:rsidTr="00F72DDB">
        <w:tc>
          <w:tcPr>
            <w:tcW w:w="2250" w:type="dxa"/>
          </w:tcPr>
          <w:p w14:paraId="2856FB96" w14:textId="77777777" w:rsidR="0074001B" w:rsidRPr="00F55BC1" w:rsidRDefault="0074001B" w:rsidP="00230730">
            <w:pPr>
              <w:spacing w:line="360" w:lineRule="auto"/>
              <w:rPr>
                <w:rFonts w:asciiTheme="majorHAnsi" w:hAnsiTheme="majorHAnsi"/>
              </w:rPr>
            </w:pPr>
            <w:r w:rsidRPr="00F55BC1">
              <w:rPr>
                <w:rFonts w:asciiTheme="majorHAnsi" w:hAnsiTheme="majorHAnsi"/>
              </w:rPr>
              <w:t>Telephone expenses for 1</w:t>
            </w:r>
            <w:r w:rsidR="00230730" w:rsidRPr="00F55BC1">
              <w:rPr>
                <w:rFonts w:asciiTheme="majorHAnsi" w:hAnsiTheme="majorHAnsi"/>
              </w:rPr>
              <w:t>3</w:t>
            </w:r>
            <w:r w:rsidRPr="00F55BC1">
              <w:rPr>
                <w:rFonts w:asciiTheme="majorHAnsi" w:hAnsiTheme="majorHAnsi"/>
              </w:rPr>
              <w:t xml:space="preserve"> seats (</w:t>
            </w:r>
            <w:r w:rsidR="00560055">
              <w:rPr>
                <w:rFonts w:asciiTheme="majorHAnsi" w:hAnsiTheme="majorHAnsi"/>
              </w:rPr>
              <w:t xml:space="preserve">BSNL </w:t>
            </w:r>
            <w:r w:rsidRPr="00F55BC1">
              <w:rPr>
                <w:rFonts w:asciiTheme="majorHAnsi" w:hAnsiTheme="majorHAnsi"/>
              </w:rPr>
              <w:t xml:space="preserve">PRI Lines) </w:t>
            </w:r>
          </w:p>
        </w:tc>
        <w:tc>
          <w:tcPr>
            <w:tcW w:w="4500" w:type="dxa"/>
            <w:gridSpan w:val="3"/>
          </w:tcPr>
          <w:p w14:paraId="2BFE6177" w14:textId="77777777" w:rsidR="0074001B" w:rsidRPr="00F55BC1" w:rsidRDefault="00560055" w:rsidP="00560055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526B46" w:rsidRPr="00F55BC1"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t>5</w:t>
            </w:r>
            <w:r w:rsidR="0074001B" w:rsidRPr="00F55BC1">
              <w:rPr>
                <w:rFonts w:asciiTheme="majorHAnsi" w:hAnsiTheme="majorHAnsi"/>
              </w:rPr>
              <w:t>0,000/- per month (approximately)</w:t>
            </w:r>
          </w:p>
        </w:tc>
        <w:tc>
          <w:tcPr>
            <w:tcW w:w="1800" w:type="dxa"/>
          </w:tcPr>
          <w:p w14:paraId="58EDE001" w14:textId="77777777" w:rsidR="0074001B" w:rsidRPr="00F55BC1" w:rsidRDefault="00560055" w:rsidP="00526B46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  <w:r w:rsidR="00526B46" w:rsidRPr="00F55BC1">
              <w:rPr>
                <w:rFonts w:asciiTheme="majorHAnsi" w:hAnsiTheme="majorHAnsi"/>
              </w:rPr>
              <w:t>,0</w:t>
            </w:r>
            <w:r w:rsidR="0074001B" w:rsidRPr="00F55BC1">
              <w:rPr>
                <w:rFonts w:asciiTheme="majorHAnsi" w:hAnsiTheme="majorHAnsi"/>
              </w:rPr>
              <w:t>0,000/-</w:t>
            </w:r>
          </w:p>
        </w:tc>
      </w:tr>
      <w:tr w:rsidR="0074001B" w:rsidRPr="00F55BC1" w14:paraId="04A5D510" w14:textId="77777777" w:rsidTr="00560055">
        <w:tc>
          <w:tcPr>
            <w:tcW w:w="6750" w:type="dxa"/>
            <w:gridSpan w:val="4"/>
          </w:tcPr>
          <w:p w14:paraId="7111989B" w14:textId="77777777" w:rsidR="0074001B" w:rsidRPr="00F55BC1" w:rsidRDefault="0074001B" w:rsidP="009F739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 xml:space="preserve">Total  </w:t>
            </w:r>
          </w:p>
        </w:tc>
        <w:tc>
          <w:tcPr>
            <w:tcW w:w="1800" w:type="dxa"/>
          </w:tcPr>
          <w:p w14:paraId="4B18774E" w14:textId="77777777" w:rsidR="0074001B" w:rsidRPr="00F55BC1" w:rsidRDefault="0074001B" w:rsidP="007D78BF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>1,</w:t>
            </w:r>
            <w:r w:rsidR="00526B46" w:rsidRPr="00F55BC1">
              <w:rPr>
                <w:rFonts w:asciiTheme="majorHAnsi" w:hAnsiTheme="majorHAnsi"/>
                <w:b/>
              </w:rPr>
              <w:t>4</w:t>
            </w:r>
            <w:r w:rsidR="007D78BF">
              <w:rPr>
                <w:rFonts w:asciiTheme="majorHAnsi" w:hAnsiTheme="majorHAnsi"/>
                <w:b/>
              </w:rPr>
              <w:t>2</w:t>
            </w:r>
            <w:r w:rsidRPr="00F55BC1">
              <w:rPr>
                <w:rFonts w:asciiTheme="majorHAnsi" w:hAnsiTheme="majorHAnsi"/>
                <w:b/>
              </w:rPr>
              <w:t>,80,000/-</w:t>
            </w:r>
          </w:p>
        </w:tc>
      </w:tr>
    </w:tbl>
    <w:p w14:paraId="68EB859A" w14:textId="77777777" w:rsidR="00936D0E" w:rsidRDefault="00936D0E">
      <w:pPr>
        <w:rPr>
          <w:sz w:val="22"/>
          <w:szCs w:val="22"/>
        </w:rPr>
      </w:pPr>
    </w:p>
    <w:p w14:paraId="6905D117" w14:textId="77777777" w:rsidR="002E09DC" w:rsidRDefault="00F72DDB">
      <w:pPr>
        <w:rPr>
          <w:rStyle w:val="FontStyle49"/>
          <w:rFonts w:asciiTheme="majorHAnsi" w:hAnsiTheme="majorHAnsi"/>
          <w:b/>
          <w:szCs w:val="22"/>
        </w:rPr>
      </w:pPr>
      <w:r w:rsidRPr="00F72DDB">
        <w:rPr>
          <w:rStyle w:val="FontStyle49"/>
          <w:rFonts w:asciiTheme="majorHAnsi" w:hAnsiTheme="majorHAnsi"/>
          <w:b/>
          <w:szCs w:val="22"/>
        </w:rPr>
        <w:t xml:space="preserve">    </w:t>
      </w:r>
      <w:r>
        <w:rPr>
          <w:rStyle w:val="FontStyle49"/>
          <w:rFonts w:asciiTheme="majorHAnsi" w:hAnsiTheme="majorHAnsi"/>
          <w:b/>
          <w:szCs w:val="22"/>
        </w:rPr>
        <w:t xml:space="preserve">   </w:t>
      </w:r>
      <w:r w:rsidR="002E09DC">
        <w:rPr>
          <w:rStyle w:val="FontStyle49"/>
          <w:rFonts w:asciiTheme="majorHAnsi" w:hAnsiTheme="majorHAnsi"/>
          <w:b/>
          <w:szCs w:val="22"/>
        </w:rPr>
        <w:t xml:space="preserve">State is in process for adding </w:t>
      </w:r>
      <w:proofErr w:type="gramStart"/>
      <w:r w:rsidR="002E09DC">
        <w:rPr>
          <w:rStyle w:val="FontStyle49"/>
          <w:rFonts w:asciiTheme="majorHAnsi" w:hAnsiTheme="majorHAnsi"/>
          <w:b/>
          <w:szCs w:val="22"/>
        </w:rPr>
        <w:t>3  more</w:t>
      </w:r>
      <w:proofErr w:type="gramEnd"/>
      <w:r w:rsidR="002E09DC">
        <w:rPr>
          <w:rStyle w:val="FontStyle49"/>
          <w:rFonts w:asciiTheme="majorHAnsi" w:hAnsiTheme="majorHAnsi"/>
          <w:b/>
          <w:szCs w:val="22"/>
        </w:rPr>
        <w:t xml:space="preserve"> seats keeping in view the new initiatives under MCH and other programmes. </w:t>
      </w:r>
    </w:p>
    <w:p w14:paraId="0F5ED436" w14:textId="77777777" w:rsidR="002E09DC" w:rsidRDefault="002E09DC">
      <w:pPr>
        <w:rPr>
          <w:rStyle w:val="FontStyle49"/>
          <w:rFonts w:asciiTheme="majorHAnsi" w:hAnsiTheme="majorHAnsi"/>
          <w:b/>
          <w:szCs w:val="22"/>
        </w:rPr>
      </w:pPr>
    </w:p>
    <w:p w14:paraId="2E714707" w14:textId="1F33555F" w:rsidR="00F72DDB" w:rsidRDefault="00F72DDB">
      <w:pPr>
        <w:rPr>
          <w:rStyle w:val="FontStyle49"/>
          <w:rFonts w:asciiTheme="majorHAnsi" w:hAnsiTheme="majorHAnsi"/>
          <w:b/>
          <w:szCs w:val="22"/>
          <w:u w:val="single"/>
        </w:rPr>
      </w:pPr>
      <w:r>
        <w:rPr>
          <w:rStyle w:val="FontStyle49"/>
          <w:rFonts w:asciiTheme="majorHAnsi" w:hAnsiTheme="majorHAnsi"/>
          <w:b/>
          <w:szCs w:val="22"/>
        </w:rPr>
        <w:t xml:space="preserve"> </w:t>
      </w:r>
      <w:r w:rsidRPr="00F72DDB">
        <w:rPr>
          <w:rStyle w:val="FontStyle49"/>
          <w:rFonts w:asciiTheme="majorHAnsi" w:hAnsiTheme="majorHAnsi"/>
          <w:b/>
          <w:szCs w:val="22"/>
          <w:u w:val="single"/>
        </w:rPr>
        <w:t>CAPEX of 3 Seats</w:t>
      </w:r>
    </w:p>
    <w:p w14:paraId="4ABEA877" w14:textId="77777777" w:rsidR="00F72DDB" w:rsidRDefault="00F72DDB">
      <w:pPr>
        <w:rPr>
          <w:rStyle w:val="FontStyle49"/>
          <w:rFonts w:asciiTheme="majorHAnsi" w:hAnsiTheme="majorHAnsi"/>
          <w:b/>
          <w:szCs w:val="22"/>
          <w:u w:val="single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2250"/>
        <w:gridCol w:w="2790"/>
        <w:gridCol w:w="3510"/>
      </w:tblGrid>
      <w:tr w:rsidR="00F72DDB" w14:paraId="71D6A86F" w14:textId="77777777" w:rsidTr="005F37F2">
        <w:tc>
          <w:tcPr>
            <w:tcW w:w="2250" w:type="dxa"/>
          </w:tcPr>
          <w:p w14:paraId="0F51BDAB" w14:textId="77777777" w:rsidR="00F72DDB" w:rsidRDefault="00F72DDB">
            <w:r w:rsidRPr="00F55BC1">
              <w:rPr>
                <w:rFonts w:asciiTheme="majorHAnsi" w:hAnsiTheme="majorHAnsi"/>
                <w:b/>
              </w:rPr>
              <w:t>Description</w:t>
            </w:r>
          </w:p>
        </w:tc>
        <w:tc>
          <w:tcPr>
            <w:tcW w:w="2790" w:type="dxa"/>
          </w:tcPr>
          <w:p w14:paraId="4DE5F3D4" w14:textId="4B2835D1" w:rsidR="00F72DDB" w:rsidRDefault="00F72DDB" w:rsidP="000C157D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 xml:space="preserve">Cost per seat </w:t>
            </w:r>
          </w:p>
          <w:p w14:paraId="09C7FA63" w14:textId="77777777" w:rsidR="00F72DDB" w:rsidRPr="00F55BC1" w:rsidRDefault="00F72DDB" w:rsidP="005F37F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</w:t>
            </w:r>
            <w:r w:rsidR="005F37F2">
              <w:rPr>
                <w:rFonts w:asciiTheme="majorHAnsi" w:hAnsiTheme="majorHAnsi"/>
                <w:b/>
              </w:rPr>
              <w:t>Rs.</w:t>
            </w:r>
            <w:r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3510" w:type="dxa"/>
          </w:tcPr>
          <w:p w14:paraId="57DD70CB" w14:textId="77777777" w:rsidR="005F37F2" w:rsidRDefault="00F72DDB" w:rsidP="005F37F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 xml:space="preserve">Total Cost for </w:t>
            </w:r>
            <w:r>
              <w:rPr>
                <w:rFonts w:asciiTheme="majorHAnsi" w:hAnsiTheme="majorHAnsi"/>
                <w:b/>
              </w:rPr>
              <w:t>3</w:t>
            </w:r>
            <w:r w:rsidRPr="00F55BC1">
              <w:rPr>
                <w:rFonts w:asciiTheme="majorHAnsi" w:hAnsiTheme="majorHAnsi"/>
                <w:b/>
              </w:rPr>
              <w:t xml:space="preserve"> seats</w:t>
            </w:r>
          </w:p>
          <w:p w14:paraId="653D0ADD" w14:textId="77777777" w:rsidR="00F72DDB" w:rsidRPr="00F55BC1" w:rsidRDefault="00F72DDB" w:rsidP="005F37F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55BC1">
              <w:rPr>
                <w:rFonts w:asciiTheme="majorHAnsi" w:hAnsiTheme="majorHAnsi"/>
                <w:b/>
              </w:rPr>
              <w:t xml:space="preserve"> (</w:t>
            </w:r>
            <w:r w:rsidR="005F37F2">
              <w:rPr>
                <w:rFonts w:asciiTheme="majorHAnsi" w:hAnsiTheme="majorHAnsi"/>
                <w:b/>
              </w:rPr>
              <w:t>Rs.</w:t>
            </w:r>
            <w:r w:rsidRPr="00F55BC1">
              <w:rPr>
                <w:rFonts w:asciiTheme="majorHAnsi" w:hAnsiTheme="majorHAnsi"/>
                <w:b/>
              </w:rPr>
              <w:t xml:space="preserve">) </w:t>
            </w:r>
          </w:p>
        </w:tc>
      </w:tr>
      <w:tr w:rsidR="00F72DDB" w14:paraId="1CD21C32" w14:textId="77777777" w:rsidTr="005F37F2">
        <w:tc>
          <w:tcPr>
            <w:tcW w:w="2250" w:type="dxa"/>
          </w:tcPr>
          <w:p w14:paraId="53089698" w14:textId="77777777" w:rsidR="00F72DDB" w:rsidRPr="00F55BC1" w:rsidRDefault="00F72DDB" w:rsidP="00F72DDB">
            <w:pPr>
              <w:spacing w:line="360" w:lineRule="auto"/>
              <w:rPr>
                <w:rFonts w:asciiTheme="majorHAnsi" w:hAnsiTheme="majorHAnsi"/>
              </w:rPr>
            </w:pPr>
            <w:r w:rsidRPr="00F55BC1">
              <w:rPr>
                <w:rFonts w:asciiTheme="majorHAnsi" w:hAnsiTheme="majorHAnsi"/>
              </w:rPr>
              <w:t>104 Medical Helpline  (</w:t>
            </w:r>
            <w:r>
              <w:rPr>
                <w:rFonts w:asciiTheme="majorHAnsi" w:hAnsiTheme="majorHAnsi"/>
              </w:rPr>
              <w:t>3</w:t>
            </w:r>
            <w:r w:rsidRPr="00F55BC1">
              <w:rPr>
                <w:rFonts w:asciiTheme="majorHAnsi" w:hAnsiTheme="majorHAnsi"/>
              </w:rPr>
              <w:t xml:space="preserve"> Seats)</w:t>
            </w:r>
          </w:p>
        </w:tc>
        <w:tc>
          <w:tcPr>
            <w:tcW w:w="2790" w:type="dxa"/>
          </w:tcPr>
          <w:p w14:paraId="0B863132" w14:textId="77777777" w:rsidR="00F72DDB" w:rsidRDefault="005F37F2" w:rsidP="005F37F2">
            <w:pPr>
              <w:jc w:val="center"/>
            </w:pPr>
            <w:r>
              <w:t>1,50,000/-</w:t>
            </w:r>
          </w:p>
        </w:tc>
        <w:tc>
          <w:tcPr>
            <w:tcW w:w="3510" w:type="dxa"/>
          </w:tcPr>
          <w:p w14:paraId="3619F4D3" w14:textId="77777777" w:rsidR="00F72DDB" w:rsidRDefault="005F37F2" w:rsidP="005F37F2">
            <w:pPr>
              <w:jc w:val="center"/>
            </w:pPr>
            <w:r>
              <w:t>4,50,000/-</w:t>
            </w:r>
          </w:p>
        </w:tc>
      </w:tr>
    </w:tbl>
    <w:p w14:paraId="43905FF6" w14:textId="77777777" w:rsidR="00F72DDB" w:rsidRDefault="00F72DDB">
      <w:pPr>
        <w:rPr>
          <w:sz w:val="22"/>
          <w:szCs w:val="22"/>
        </w:rPr>
      </w:pPr>
    </w:p>
    <w:p w14:paraId="14BE4A3E" w14:textId="77777777" w:rsidR="005F37F2" w:rsidRDefault="005F37F2">
      <w:pPr>
        <w:rPr>
          <w:sz w:val="22"/>
          <w:szCs w:val="22"/>
        </w:rPr>
      </w:pPr>
    </w:p>
    <w:p w14:paraId="6332F940" w14:textId="77777777" w:rsidR="005F37F2" w:rsidRDefault="005F37F2">
      <w:pPr>
        <w:rPr>
          <w:sz w:val="22"/>
          <w:szCs w:val="22"/>
        </w:rPr>
      </w:pPr>
    </w:p>
    <w:tbl>
      <w:tblPr>
        <w:tblStyle w:val="TableGrid"/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4320"/>
        <w:gridCol w:w="1890"/>
      </w:tblGrid>
      <w:tr w:rsidR="005F37F2" w14:paraId="7CA12FEE" w14:textId="77777777" w:rsidTr="00245351">
        <w:tc>
          <w:tcPr>
            <w:tcW w:w="4320" w:type="dxa"/>
          </w:tcPr>
          <w:p w14:paraId="3590E617" w14:textId="77777777" w:rsidR="005F37F2" w:rsidRPr="009F739F" w:rsidRDefault="005F37F2">
            <w:pPr>
              <w:rPr>
                <w:sz w:val="24"/>
              </w:rPr>
            </w:pPr>
            <w:r w:rsidRPr="009F739F">
              <w:rPr>
                <w:sz w:val="24"/>
              </w:rPr>
              <w:t>OPEX</w:t>
            </w:r>
          </w:p>
        </w:tc>
        <w:tc>
          <w:tcPr>
            <w:tcW w:w="1890" w:type="dxa"/>
          </w:tcPr>
          <w:p w14:paraId="12D7D208" w14:textId="77777777" w:rsidR="005F37F2" w:rsidRPr="009F739F" w:rsidRDefault="005F37F2" w:rsidP="009F739F">
            <w:pPr>
              <w:jc w:val="right"/>
              <w:rPr>
                <w:sz w:val="24"/>
              </w:rPr>
            </w:pPr>
            <w:r w:rsidRPr="009F739F">
              <w:rPr>
                <w:sz w:val="24"/>
              </w:rPr>
              <w:t>1,42,80,000/-</w:t>
            </w:r>
          </w:p>
        </w:tc>
      </w:tr>
      <w:tr w:rsidR="005F37F2" w14:paraId="181BDC4D" w14:textId="77777777" w:rsidTr="00245351">
        <w:tc>
          <w:tcPr>
            <w:tcW w:w="4320" w:type="dxa"/>
          </w:tcPr>
          <w:p w14:paraId="4EB8B20C" w14:textId="77777777" w:rsidR="005F37F2" w:rsidRPr="009F739F" w:rsidRDefault="005F37F2">
            <w:pPr>
              <w:rPr>
                <w:sz w:val="24"/>
              </w:rPr>
            </w:pPr>
            <w:r w:rsidRPr="009F739F">
              <w:rPr>
                <w:sz w:val="24"/>
              </w:rPr>
              <w:t>CAPEX</w:t>
            </w:r>
          </w:p>
        </w:tc>
        <w:tc>
          <w:tcPr>
            <w:tcW w:w="1890" w:type="dxa"/>
          </w:tcPr>
          <w:p w14:paraId="1E93687A" w14:textId="77777777" w:rsidR="005F37F2" w:rsidRPr="009F739F" w:rsidRDefault="009F739F" w:rsidP="009F739F">
            <w:pPr>
              <w:jc w:val="right"/>
              <w:rPr>
                <w:sz w:val="24"/>
              </w:rPr>
            </w:pPr>
            <w:r w:rsidRPr="009F739F">
              <w:rPr>
                <w:sz w:val="24"/>
              </w:rPr>
              <w:t>4,50,000/-</w:t>
            </w:r>
          </w:p>
        </w:tc>
      </w:tr>
      <w:tr w:rsidR="005F37F2" w14:paraId="274DE0E4" w14:textId="77777777" w:rsidTr="00245351">
        <w:tc>
          <w:tcPr>
            <w:tcW w:w="4320" w:type="dxa"/>
          </w:tcPr>
          <w:p w14:paraId="7FDF307D" w14:textId="77777777" w:rsidR="005F37F2" w:rsidRPr="00245351" w:rsidRDefault="005F37F2" w:rsidP="005F37F2">
            <w:pPr>
              <w:rPr>
                <w:b/>
                <w:sz w:val="28"/>
              </w:rPr>
            </w:pPr>
            <w:r w:rsidRPr="00245351">
              <w:rPr>
                <w:b/>
                <w:sz w:val="28"/>
              </w:rPr>
              <w:t xml:space="preserve">Total Budget Required </w:t>
            </w:r>
            <w:r w:rsidR="00CC3D74" w:rsidRPr="00245351">
              <w:rPr>
                <w:b/>
                <w:sz w:val="28"/>
              </w:rPr>
              <w:t xml:space="preserve"> (2020-21)</w:t>
            </w:r>
          </w:p>
        </w:tc>
        <w:tc>
          <w:tcPr>
            <w:tcW w:w="1890" w:type="dxa"/>
          </w:tcPr>
          <w:p w14:paraId="3054264B" w14:textId="77777777" w:rsidR="005F37F2" w:rsidRPr="00245351" w:rsidRDefault="009F739F" w:rsidP="009F739F">
            <w:pPr>
              <w:jc w:val="right"/>
              <w:rPr>
                <w:b/>
                <w:sz w:val="28"/>
              </w:rPr>
            </w:pPr>
            <w:r w:rsidRPr="00245351">
              <w:rPr>
                <w:b/>
                <w:sz w:val="28"/>
              </w:rPr>
              <w:t>1,47,30,000/-</w:t>
            </w:r>
          </w:p>
        </w:tc>
      </w:tr>
    </w:tbl>
    <w:p w14:paraId="71B955E7" w14:textId="77777777" w:rsidR="005F37F2" w:rsidRDefault="005F37F2">
      <w:pPr>
        <w:rPr>
          <w:sz w:val="22"/>
          <w:szCs w:val="22"/>
        </w:rPr>
      </w:pPr>
    </w:p>
    <w:sectPr w:rsidR="005F37F2" w:rsidSect="00D9793A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7E2A49"/>
    <w:multiLevelType w:val="hybridMultilevel"/>
    <w:tmpl w:val="DEB8C6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D17E19"/>
    <w:multiLevelType w:val="hybridMultilevel"/>
    <w:tmpl w:val="9D74DCF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74A"/>
    <w:rsid w:val="00073996"/>
    <w:rsid w:val="00230730"/>
    <w:rsid w:val="00245351"/>
    <w:rsid w:val="002E09DC"/>
    <w:rsid w:val="00492C02"/>
    <w:rsid w:val="00526B46"/>
    <w:rsid w:val="005452C7"/>
    <w:rsid w:val="00560055"/>
    <w:rsid w:val="00590B67"/>
    <w:rsid w:val="005D71E0"/>
    <w:rsid w:val="005F37F2"/>
    <w:rsid w:val="00651736"/>
    <w:rsid w:val="006D57FC"/>
    <w:rsid w:val="0074001B"/>
    <w:rsid w:val="007A258B"/>
    <w:rsid w:val="007D78BF"/>
    <w:rsid w:val="00936D0E"/>
    <w:rsid w:val="0099474A"/>
    <w:rsid w:val="009F739F"/>
    <w:rsid w:val="00BD1446"/>
    <w:rsid w:val="00C011D0"/>
    <w:rsid w:val="00CC3D74"/>
    <w:rsid w:val="00D64FAD"/>
    <w:rsid w:val="00D7027F"/>
    <w:rsid w:val="00D9793A"/>
    <w:rsid w:val="00F55BC1"/>
    <w:rsid w:val="00F7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161C59C1"/>
  <w15:docId w15:val="{A3F89ED4-9DAD-4BBE-BB20-F89BE8EC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7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49">
    <w:name w:val="Font Style49"/>
    <w:basedOn w:val="DefaultParagraphFont"/>
    <w:uiPriority w:val="99"/>
    <w:rsid w:val="0099474A"/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Normal"/>
    <w:uiPriority w:val="99"/>
    <w:rsid w:val="0099474A"/>
    <w:pPr>
      <w:widowControl w:val="0"/>
      <w:autoSpaceDE w:val="0"/>
      <w:autoSpaceDN w:val="0"/>
      <w:adjustRightInd w:val="0"/>
      <w:spacing w:line="301" w:lineRule="exact"/>
      <w:jc w:val="both"/>
    </w:pPr>
    <w:rPr>
      <w:rFonts w:ascii="Cambria" w:hAnsi="Cambria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chairman</dc:creator>
  <cp:keywords/>
  <dc:description/>
  <cp:lastModifiedBy>Policy-Planning NHM-Punjab</cp:lastModifiedBy>
  <cp:revision>16</cp:revision>
  <cp:lastPrinted>2020-02-11T04:43:00Z</cp:lastPrinted>
  <dcterms:created xsi:type="dcterms:W3CDTF">2018-12-21T06:41:00Z</dcterms:created>
  <dcterms:modified xsi:type="dcterms:W3CDTF">2020-02-11T04:45:00Z</dcterms:modified>
</cp:coreProperties>
</file>