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134" w:rsidRPr="00BE1ECD" w:rsidRDefault="001B5134" w:rsidP="00B43593">
      <w:pPr>
        <w:jc w:val="center"/>
        <w:rPr>
          <w:b/>
          <w:bCs/>
          <w:u w:val="single"/>
        </w:rPr>
      </w:pPr>
      <w:r w:rsidRPr="00BE1ECD">
        <w:rPr>
          <w:b/>
          <w:bCs/>
          <w:u w:val="single"/>
        </w:rPr>
        <w:t xml:space="preserve">Proposal </w:t>
      </w:r>
      <w:r w:rsidR="00201FA5">
        <w:rPr>
          <w:b/>
          <w:bCs/>
          <w:u w:val="single"/>
        </w:rPr>
        <w:t>under</w:t>
      </w:r>
      <w:r w:rsidR="00A47021">
        <w:rPr>
          <w:b/>
          <w:bCs/>
          <w:u w:val="single"/>
        </w:rPr>
        <w:t xml:space="preserve"> Free Drugs Initiative Programme and JSSK</w:t>
      </w:r>
      <w:r w:rsidRPr="00BE1ECD">
        <w:rPr>
          <w:b/>
          <w:bCs/>
          <w:u w:val="single"/>
        </w:rPr>
        <w:t xml:space="preserve"> – PIP 2024-25 </w:t>
      </w:r>
    </w:p>
    <w:p w:rsidR="00411D65" w:rsidRPr="00B67E69" w:rsidRDefault="00505227" w:rsidP="00F07EA5">
      <w:pPr>
        <w:jc w:val="both"/>
      </w:pPr>
      <w:r w:rsidRPr="00505227">
        <w:t xml:space="preserve">The Government of Punjab's Department of Health is determined to expand the reach of public health services across the state and reduce the financial burden on its residents when seeking medical care. </w:t>
      </w:r>
    </w:p>
    <w:tbl>
      <w:tblPr>
        <w:tblStyle w:val="TableGrid"/>
        <w:tblW w:w="10324" w:type="dxa"/>
        <w:jc w:val="center"/>
        <w:tblLook w:val="04A0"/>
      </w:tblPr>
      <w:tblGrid>
        <w:gridCol w:w="529"/>
        <w:gridCol w:w="1997"/>
        <w:gridCol w:w="6662"/>
        <w:gridCol w:w="1136"/>
      </w:tblGrid>
      <w:tr w:rsidR="00820D93" w:rsidRPr="00253377" w:rsidTr="00246A29">
        <w:trPr>
          <w:trHeight w:val="539"/>
          <w:jc w:val="center"/>
        </w:trPr>
        <w:tc>
          <w:tcPr>
            <w:tcW w:w="529" w:type="dxa"/>
            <w:shd w:val="clear" w:color="auto" w:fill="BDD6EE" w:themeFill="accent1" w:themeFillTint="66"/>
            <w:vAlign w:val="center"/>
          </w:tcPr>
          <w:p w:rsidR="00E97333" w:rsidRPr="00253377" w:rsidRDefault="00820D93" w:rsidP="00820D93">
            <w:pPr>
              <w:jc w:val="center"/>
              <w:rPr>
                <w:rFonts w:cstheme="minorHAnsi"/>
                <w:b/>
                <w:bCs/>
              </w:rPr>
            </w:pPr>
            <w:r w:rsidRPr="00253377">
              <w:rPr>
                <w:rFonts w:cstheme="minorHAnsi"/>
                <w:b/>
                <w:bCs/>
              </w:rPr>
              <w:t>S</w:t>
            </w:r>
            <w:r w:rsidR="00E97333" w:rsidRPr="00253377">
              <w:rPr>
                <w:rFonts w:cstheme="minorHAnsi"/>
                <w:b/>
                <w:bCs/>
              </w:rPr>
              <w:t>r.</w:t>
            </w:r>
          </w:p>
          <w:p w:rsidR="00820D93" w:rsidRPr="00253377" w:rsidRDefault="00820D93" w:rsidP="00820D93">
            <w:pPr>
              <w:jc w:val="center"/>
              <w:rPr>
                <w:rFonts w:cstheme="minorHAnsi"/>
                <w:b/>
                <w:bCs/>
              </w:rPr>
            </w:pPr>
            <w:r w:rsidRPr="00253377">
              <w:rPr>
                <w:rFonts w:cstheme="minorHAnsi"/>
                <w:b/>
                <w:bCs/>
              </w:rPr>
              <w:t>N</w:t>
            </w:r>
            <w:r w:rsidR="00E97333" w:rsidRPr="00253377">
              <w:rPr>
                <w:rFonts w:cstheme="minorHAnsi"/>
                <w:b/>
                <w:bCs/>
              </w:rPr>
              <w:t>o</w:t>
            </w:r>
          </w:p>
        </w:tc>
        <w:tc>
          <w:tcPr>
            <w:tcW w:w="1997" w:type="dxa"/>
            <w:shd w:val="clear" w:color="auto" w:fill="BDD6EE" w:themeFill="accent1" w:themeFillTint="66"/>
            <w:vAlign w:val="center"/>
          </w:tcPr>
          <w:p w:rsidR="00820D93" w:rsidRPr="00253377" w:rsidRDefault="00820D93" w:rsidP="00820D93">
            <w:pPr>
              <w:jc w:val="center"/>
              <w:rPr>
                <w:rFonts w:cstheme="minorHAnsi"/>
                <w:b/>
                <w:bCs/>
              </w:rPr>
            </w:pPr>
            <w:r w:rsidRPr="00253377">
              <w:rPr>
                <w:rFonts w:cstheme="minorHAnsi"/>
                <w:b/>
                <w:bCs/>
              </w:rPr>
              <w:t>Particulars</w:t>
            </w:r>
          </w:p>
        </w:tc>
        <w:tc>
          <w:tcPr>
            <w:tcW w:w="6662" w:type="dxa"/>
            <w:shd w:val="clear" w:color="auto" w:fill="BDD6EE" w:themeFill="accent1" w:themeFillTint="66"/>
            <w:vAlign w:val="center"/>
          </w:tcPr>
          <w:p w:rsidR="00820D93" w:rsidRPr="00253377" w:rsidRDefault="00820D93" w:rsidP="00820D93">
            <w:pPr>
              <w:jc w:val="center"/>
              <w:rPr>
                <w:rFonts w:cstheme="minorHAnsi"/>
                <w:b/>
                <w:bCs/>
              </w:rPr>
            </w:pPr>
            <w:r w:rsidRPr="00253377">
              <w:rPr>
                <w:rFonts w:cstheme="minorHAnsi"/>
                <w:b/>
                <w:bCs/>
              </w:rPr>
              <w:t>Remarks</w:t>
            </w:r>
          </w:p>
        </w:tc>
        <w:tc>
          <w:tcPr>
            <w:tcW w:w="1136" w:type="dxa"/>
            <w:shd w:val="clear" w:color="auto" w:fill="BDD6EE" w:themeFill="accent1" w:themeFillTint="66"/>
            <w:vAlign w:val="center"/>
          </w:tcPr>
          <w:p w:rsidR="00820D93" w:rsidRPr="00253377" w:rsidRDefault="00820D93" w:rsidP="00820D93">
            <w:pPr>
              <w:jc w:val="center"/>
              <w:rPr>
                <w:rFonts w:cstheme="minorHAnsi"/>
                <w:b/>
                <w:bCs/>
              </w:rPr>
            </w:pPr>
            <w:r w:rsidRPr="00253377">
              <w:rPr>
                <w:rFonts w:cstheme="minorHAnsi"/>
                <w:b/>
                <w:bCs/>
              </w:rPr>
              <w:t>Cost in Rs.</w:t>
            </w:r>
          </w:p>
          <w:p w:rsidR="00820D93" w:rsidRPr="00253377" w:rsidRDefault="00820D93" w:rsidP="00273FB8">
            <w:pPr>
              <w:jc w:val="center"/>
              <w:rPr>
                <w:rFonts w:cstheme="minorHAnsi"/>
                <w:b/>
                <w:bCs/>
              </w:rPr>
            </w:pPr>
            <w:r w:rsidRPr="00253377">
              <w:rPr>
                <w:rFonts w:cstheme="minorHAnsi"/>
                <w:b/>
                <w:bCs/>
              </w:rPr>
              <w:t>(In La</w:t>
            </w:r>
            <w:r w:rsidR="00273FB8" w:rsidRPr="00253377">
              <w:rPr>
                <w:rFonts w:cstheme="minorHAnsi"/>
                <w:b/>
                <w:bCs/>
              </w:rPr>
              <w:t>c</w:t>
            </w:r>
            <w:r w:rsidRPr="00253377">
              <w:rPr>
                <w:rFonts w:cstheme="minorHAnsi"/>
                <w:b/>
                <w:bCs/>
              </w:rPr>
              <w:t>)</w:t>
            </w:r>
          </w:p>
        </w:tc>
      </w:tr>
      <w:tr w:rsidR="00820D93" w:rsidRPr="00253377" w:rsidTr="00246A29">
        <w:trPr>
          <w:trHeight w:val="670"/>
          <w:jc w:val="center"/>
        </w:trPr>
        <w:tc>
          <w:tcPr>
            <w:tcW w:w="529" w:type="dxa"/>
          </w:tcPr>
          <w:p w:rsidR="00820D93" w:rsidRPr="00253377" w:rsidRDefault="00820D93">
            <w:pPr>
              <w:pStyle w:val="ListParagraph"/>
              <w:numPr>
                <w:ilvl w:val="0"/>
                <w:numId w:val="1"/>
              </w:numPr>
              <w:rPr>
                <w:rFonts w:cstheme="minorHAnsi"/>
              </w:rPr>
            </w:pPr>
          </w:p>
        </w:tc>
        <w:tc>
          <w:tcPr>
            <w:tcW w:w="1997" w:type="dxa"/>
          </w:tcPr>
          <w:p w:rsidR="00820D93" w:rsidRPr="00253377" w:rsidRDefault="00CB7F19" w:rsidP="00133C0F">
            <w:pPr>
              <w:jc w:val="both"/>
              <w:rPr>
                <w:rFonts w:cstheme="minorHAnsi"/>
              </w:rPr>
            </w:pPr>
            <w:r>
              <w:rPr>
                <w:rFonts w:cstheme="minorHAnsi"/>
              </w:rPr>
              <w:t>Demand of drugs under Free Drugs Initiative</w:t>
            </w:r>
          </w:p>
        </w:tc>
        <w:tc>
          <w:tcPr>
            <w:tcW w:w="6662" w:type="dxa"/>
          </w:tcPr>
          <w:p w:rsidR="000F2EB8" w:rsidRDefault="00912D63">
            <w:pPr>
              <w:pStyle w:val="ListParagraph"/>
              <w:numPr>
                <w:ilvl w:val="0"/>
                <w:numId w:val="3"/>
              </w:numPr>
              <w:jc w:val="both"/>
              <w:rPr>
                <w:rFonts w:cstheme="minorHAnsi"/>
              </w:rPr>
            </w:pPr>
            <w:r>
              <w:rPr>
                <w:rFonts w:cstheme="minorHAnsi"/>
              </w:rPr>
              <w:t xml:space="preserve">The state has observed increase in the number of OPD, IPD and value of purchase </w:t>
            </w:r>
            <w:r w:rsidR="000F2EB8">
              <w:rPr>
                <w:rFonts w:cstheme="minorHAnsi"/>
              </w:rPr>
              <w:t xml:space="preserve">orders: - </w:t>
            </w:r>
          </w:p>
          <w:p w:rsidR="000F2EB8" w:rsidRPr="000F2EB8" w:rsidRDefault="000F2EB8" w:rsidP="000F2EB8">
            <w:pPr>
              <w:jc w:val="both"/>
              <w:rPr>
                <w:rFonts w:cstheme="minorHAnsi"/>
              </w:rPr>
            </w:pPr>
          </w:p>
          <w:tbl>
            <w:tblPr>
              <w:tblStyle w:val="TableGrid"/>
              <w:tblW w:w="0" w:type="auto"/>
              <w:tblInd w:w="27" w:type="dxa"/>
              <w:tblLook w:val="04A0"/>
            </w:tblPr>
            <w:tblGrid>
              <w:gridCol w:w="1334"/>
              <w:gridCol w:w="1135"/>
              <w:gridCol w:w="1135"/>
              <w:gridCol w:w="2491"/>
            </w:tblGrid>
            <w:tr w:rsidR="000F2EB8" w:rsidTr="000F2EB8">
              <w:tc>
                <w:tcPr>
                  <w:tcW w:w="1334" w:type="dxa"/>
                  <w:vAlign w:val="center"/>
                </w:tcPr>
                <w:p w:rsidR="000F2EB8" w:rsidRDefault="000F2EB8" w:rsidP="000F2EB8">
                  <w:pPr>
                    <w:jc w:val="center"/>
                    <w:rPr>
                      <w:rFonts w:cstheme="minorHAnsi"/>
                    </w:rPr>
                  </w:pPr>
                  <w:r>
                    <w:rPr>
                      <w:rFonts w:cstheme="minorHAnsi"/>
                    </w:rPr>
                    <w:t>Year</w:t>
                  </w:r>
                </w:p>
              </w:tc>
              <w:tc>
                <w:tcPr>
                  <w:tcW w:w="1135" w:type="dxa"/>
                  <w:vAlign w:val="center"/>
                </w:tcPr>
                <w:p w:rsidR="000F2EB8" w:rsidRDefault="000F2EB8" w:rsidP="000F2EB8">
                  <w:pPr>
                    <w:jc w:val="center"/>
                    <w:rPr>
                      <w:rFonts w:cstheme="minorHAnsi"/>
                    </w:rPr>
                  </w:pPr>
                  <w:r>
                    <w:rPr>
                      <w:rFonts w:cstheme="minorHAnsi"/>
                    </w:rPr>
                    <w:t>OPD</w:t>
                  </w:r>
                  <w:r>
                    <w:rPr>
                      <w:rStyle w:val="FootnoteReference"/>
                      <w:rFonts w:cstheme="minorHAnsi"/>
                    </w:rPr>
                    <w:footnoteReference w:id="2"/>
                  </w:r>
                </w:p>
              </w:tc>
              <w:tc>
                <w:tcPr>
                  <w:tcW w:w="1135" w:type="dxa"/>
                  <w:vAlign w:val="center"/>
                </w:tcPr>
                <w:p w:rsidR="000F2EB8" w:rsidRDefault="000F2EB8" w:rsidP="000F2EB8">
                  <w:pPr>
                    <w:jc w:val="center"/>
                    <w:rPr>
                      <w:rFonts w:cstheme="minorHAnsi"/>
                    </w:rPr>
                  </w:pPr>
                  <w:r>
                    <w:rPr>
                      <w:rFonts w:cstheme="minorHAnsi"/>
                    </w:rPr>
                    <w:t>IPD</w:t>
                  </w:r>
                  <w:r>
                    <w:rPr>
                      <w:rStyle w:val="FootnoteReference"/>
                      <w:rFonts w:cstheme="minorHAnsi"/>
                    </w:rPr>
                    <w:footnoteReference w:id="3"/>
                  </w:r>
                </w:p>
              </w:tc>
              <w:tc>
                <w:tcPr>
                  <w:tcW w:w="2491" w:type="dxa"/>
                  <w:vAlign w:val="center"/>
                </w:tcPr>
                <w:p w:rsidR="000F2EB8" w:rsidRDefault="000F2EB8" w:rsidP="000F2EB8">
                  <w:pPr>
                    <w:jc w:val="center"/>
                    <w:rPr>
                      <w:rFonts w:cstheme="minorHAnsi"/>
                    </w:rPr>
                  </w:pPr>
                  <w:r>
                    <w:rPr>
                      <w:rFonts w:cstheme="minorHAnsi"/>
                    </w:rPr>
                    <w:t xml:space="preserve">Value of PO issued under Free Drugs Initiative </w:t>
                  </w:r>
                  <w:r>
                    <w:rPr>
                      <w:rStyle w:val="FootnoteReference"/>
                      <w:rFonts w:cstheme="minorHAnsi"/>
                    </w:rPr>
                    <w:footnoteReference w:id="4"/>
                  </w:r>
                </w:p>
              </w:tc>
            </w:tr>
            <w:tr w:rsidR="000F2EB8" w:rsidTr="000F2EB8">
              <w:tc>
                <w:tcPr>
                  <w:tcW w:w="1334" w:type="dxa"/>
                </w:tcPr>
                <w:p w:rsidR="000F2EB8" w:rsidRDefault="000F2EB8" w:rsidP="000F2EB8">
                  <w:pPr>
                    <w:jc w:val="center"/>
                    <w:rPr>
                      <w:rFonts w:cstheme="minorHAnsi"/>
                    </w:rPr>
                  </w:pPr>
                  <w:r>
                    <w:rPr>
                      <w:rFonts w:cstheme="minorHAnsi"/>
                    </w:rPr>
                    <w:t>FY 2021-22</w:t>
                  </w:r>
                </w:p>
              </w:tc>
              <w:tc>
                <w:tcPr>
                  <w:tcW w:w="1135" w:type="dxa"/>
                </w:tcPr>
                <w:p w:rsidR="000F2EB8" w:rsidRDefault="000F2EB8" w:rsidP="000F2EB8">
                  <w:pPr>
                    <w:jc w:val="center"/>
                    <w:rPr>
                      <w:rFonts w:ascii="Calibri" w:hAnsi="Calibri" w:cs="Calibri"/>
                      <w:color w:val="000000"/>
                    </w:rPr>
                  </w:pPr>
                  <w:r>
                    <w:rPr>
                      <w:rFonts w:ascii="Calibri" w:hAnsi="Calibri" w:cs="Calibri"/>
                      <w:color w:val="000000"/>
                    </w:rPr>
                    <w:t>217 lakhs</w:t>
                  </w:r>
                </w:p>
              </w:tc>
              <w:tc>
                <w:tcPr>
                  <w:tcW w:w="1135" w:type="dxa"/>
                </w:tcPr>
                <w:p w:rsidR="000F2EB8" w:rsidRDefault="000F2EB8" w:rsidP="000F2EB8">
                  <w:pPr>
                    <w:jc w:val="center"/>
                    <w:rPr>
                      <w:rFonts w:ascii="Calibri" w:hAnsi="Calibri" w:cs="Calibri"/>
                      <w:color w:val="000000"/>
                    </w:rPr>
                  </w:pPr>
                  <w:r>
                    <w:rPr>
                      <w:rFonts w:ascii="Calibri" w:hAnsi="Calibri" w:cs="Calibri"/>
                      <w:color w:val="000000"/>
                    </w:rPr>
                    <w:t>7.35 lakhs</w:t>
                  </w:r>
                </w:p>
              </w:tc>
              <w:tc>
                <w:tcPr>
                  <w:tcW w:w="2491" w:type="dxa"/>
                </w:tcPr>
                <w:p w:rsidR="000F2EB8" w:rsidRPr="00227A70" w:rsidRDefault="000F2EB8" w:rsidP="000F2EB8">
                  <w:pPr>
                    <w:jc w:val="center"/>
                    <w:rPr>
                      <w:rFonts w:ascii="Calibri" w:hAnsi="Calibri" w:cs="Calibri"/>
                      <w:color w:val="000000"/>
                    </w:rPr>
                  </w:pPr>
                  <w:r>
                    <w:rPr>
                      <w:rFonts w:ascii="Calibri" w:hAnsi="Calibri" w:cs="Calibri"/>
                      <w:color w:val="000000"/>
                    </w:rPr>
                    <w:t>Rs 8,300 lakh</w:t>
                  </w:r>
                </w:p>
              </w:tc>
            </w:tr>
            <w:tr w:rsidR="000F2EB8" w:rsidTr="000F2EB8">
              <w:tc>
                <w:tcPr>
                  <w:tcW w:w="1334" w:type="dxa"/>
                  <w:vAlign w:val="center"/>
                </w:tcPr>
                <w:p w:rsidR="000F2EB8" w:rsidRDefault="000F2EB8" w:rsidP="000F2EB8">
                  <w:pPr>
                    <w:jc w:val="center"/>
                    <w:rPr>
                      <w:rFonts w:cstheme="minorHAnsi"/>
                    </w:rPr>
                  </w:pPr>
                  <w:r>
                    <w:rPr>
                      <w:rFonts w:cstheme="minorHAnsi"/>
                    </w:rPr>
                    <w:t>FY 2022-23</w:t>
                  </w:r>
                </w:p>
              </w:tc>
              <w:tc>
                <w:tcPr>
                  <w:tcW w:w="1135" w:type="dxa"/>
                  <w:vAlign w:val="center"/>
                </w:tcPr>
                <w:p w:rsidR="000F2EB8" w:rsidRDefault="000F2EB8" w:rsidP="000F2EB8">
                  <w:pPr>
                    <w:jc w:val="center"/>
                    <w:rPr>
                      <w:rFonts w:cstheme="minorHAnsi"/>
                    </w:rPr>
                  </w:pPr>
                  <w:r>
                    <w:rPr>
                      <w:rFonts w:cstheme="minorHAnsi"/>
                    </w:rPr>
                    <w:t>329 lakhs (52% increase)</w:t>
                  </w:r>
                </w:p>
              </w:tc>
              <w:tc>
                <w:tcPr>
                  <w:tcW w:w="1135" w:type="dxa"/>
                  <w:vAlign w:val="center"/>
                </w:tcPr>
                <w:p w:rsidR="000F2EB8" w:rsidRDefault="000F2EB8" w:rsidP="000F2EB8">
                  <w:pPr>
                    <w:jc w:val="center"/>
                    <w:rPr>
                      <w:rFonts w:cstheme="minorHAnsi"/>
                    </w:rPr>
                  </w:pPr>
                  <w:r>
                    <w:rPr>
                      <w:rFonts w:cstheme="minorHAnsi"/>
                    </w:rPr>
                    <w:t>9 lakhs</w:t>
                  </w:r>
                </w:p>
                <w:p w:rsidR="000F2EB8" w:rsidRDefault="000F2EB8" w:rsidP="000F2EB8">
                  <w:pPr>
                    <w:jc w:val="center"/>
                    <w:rPr>
                      <w:rFonts w:cstheme="minorHAnsi"/>
                    </w:rPr>
                  </w:pPr>
                  <w:r>
                    <w:rPr>
                      <w:rFonts w:cstheme="minorHAnsi"/>
                    </w:rPr>
                    <w:t>(22% increase)</w:t>
                  </w:r>
                </w:p>
              </w:tc>
              <w:tc>
                <w:tcPr>
                  <w:tcW w:w="2491" w:type="dxa"/>
                  <w:vAlign w:val="center"/>
                </w:tcPr>
                <w:p w:rsidR="000F2EB8" w:rsidRDefault="000F2EB8" w:rsidP="000F2EB8">
                  <w:pPr>
                    <w:jc w:val="center"/>
                    <w:rPr>
                      <w:rFonts w:cstheme="minorHAnsi"/>
                    </w:rPr>
                  </w:pPr>
                  <w:r>
                    <w:rPr>
                      <w:rFonts w:cstheme="minorHAnsi"/>
                    </w:rPr>
                    <w:t>Rs 14,237 lakh</w:t>
                  </w:r>
                </w:p>
                <w:p w:rsidR="000F2EB8" w:rsidRPr="007E7D40" w:rsidRDefault="000F2EB8" w:rsidP="000F2EB8">
                  <w:pPr>
                    <w:jc w:val="center"/>
                    <w:rPr>
                      <w:rFonts w:cstheme="minorHAnsi"/>
                    </w:rPr>
                  </w:pPr>
                  <w:r>
                    <w:rPr>
                      <w:rFonts w:cstheme="minorHAnsi"/>
                    </w:rPr>
                    <w:t>(71% increase)</w:t>
                  </w:r>
                </w:p>
              </w:tc>
            </w:tr>
          </w:tbl>
          <w:p w:rsidR="00912D63" w:rsidRDefault="00912D63" w:rsidP="000F2EB8">
            <w:pPr>
              <w:pStyle w:val="ListParagraph"/>
              <w:ind w:left="360"/>
              <w:jc w:val="both"/>
              <w:rPr>
                <w:rFonts w:cstheme="minorHAnsi"/>
              </w:rPr>
            </w:pPr>
          </w:p>
          <w:p w:rsidR="00F364A1" w:rsidRDefault="00F364A1">
            <w:pPr>
              <w:pStyle w:val="ListParagraph"/>
              <w:numPr>
                <w:ilvl w:val="0"/>
                <w:numId w:val="3"/>
              </w:numPr>
              <w:jc w:val="both"/>
              <w:rPr>
                <w:rFonts w:cstheme="minorHAnsi"/>
              </w:rPr>
            </w:pPr>
            <w:r>
              <w:rPr>
                <w:rFonts w:cstheme="minorHAnsi"/>
              </w:rPr>
              <w:t xml:space="preserve">The State Essential Drug List (EDL) has </w:t>
            </w:r>
            <w:r w:rsidR="00DA53DD">
              <w:rPr>
                <w:rFonts w:cstheme="minorHAnsi"/>
              </w:rPr>
              <w:t>a total of 4</w:t>
            </w:r>
            <w:r w:rsidR="00BA42CF">
              <w:rPr>
                <w:rFonts w:cstheme="minorHAnsi"/>
              </w:rPr>
              <w:t>66</w:t>
            </w:r>
            <w:r w:rsidR="00DA53DD">
              <w:rPr>
                <w:rFonts w:cstheme="minorHAnsi"/>
              </w:rPr>
              <w:t xml:space="preserve"> items in the list</w:t>
            </w:r>
            <w:r>
              <w:rPr>
                <w:rFonts w:cstheme="minorHAnsi"/>
              </w:rPr>
              <w:t xml:space="preserve">. </w:t>
            </w:r>
          </w:p>
          <w:p w:rsidR="00D6498E" w:rsidRDefault="00D6498E">
            <w:pPr>
              <w:pStyle w:val="ListParagraph"/>
              <w:numPr>
                <w:ilvl w:val="0"/>
                <w:numId w:val="3"/>
              </w:numPr>
              <w:jc w:val="both"/>
              <w:rPr>
                <w:rFonts w:cstheme="minorHAnsi"/>
              </w:rPr>
            </w:pPr>
            <w:r>
              <w:rPr>
                <w:rFonts w:cstheme="minorHAnsi"/>
              </w:rPr>
              <w:t>Per capita approvals under the free drugs initiative for different states</w:t>
            </w:r>
            <w:r w:rsidR="009C6758">
              <w:rPr>
                <w:rStyle w:val="FootnoteReference"/>
                <w:rFonts w:cstheme="minorHAnsi"/>
              </w:rPr>
              <w:footnoteReference w:id="5"/>
            </w:r>
          </w:p>
          <w:tbl>
            <w:tblPr>
              <w:tblStyle w:val="TableGrid"/>
              <w:tblW w:w="0" w:type="auto"/>
              <w:tblInd w:w="27" w:type="dxa"/>
              <w:tblLook w:val="04A0"/>
            </w:tblPr>
            <w:tblGrid>
              <w:gridCol w:w="1428"/>
              <w:gridCol w:w="1096"/>
              <w:gridCol w:w="1881"/>
              <w:gridCol w:w="1745"/>
            </w:tblGrid>
            <w:tr w:rsidR="00D6498E" w:rsidTr="00D6498E">
              <w:tc>
                <w:tcPr>
                  <w:tcW w:w="1428" w:type="dxa"/>
                  <w:vAlign w:val="center"/>
                </w:tcPr>
                <w:p w:rsidR="00D6498E" w:rsidRDefault="00D6498E" w:rsidP="00D6498E">
                  <w:pPr>
                    <w:jc w:val="center"/>
                    <w:rPr>
                      <w:rFonts w:cstheme="minorHAnsi"/>
                    </w:rPr>
                  </w:pPr>
                  <w:r>
                    <w:rPr>
                      <w:rFonts w:cstheme="minorHAnsi"/>
                    </w:rPr>
                    <w:t>RoP FY</w:t>
                  </w:r>
                </w:p>
              </w:tc>
              <w:tc>
                <w:tcPr>
                  <w:tcW w:w="1096" w:type="dxa"/>
                  <w:vAlign w:val="center"/>
                </w:tcPr>
                <w:p w:rsidR="00D6498E" w:rsidRDefault="00D6498E" w:rsidP="00D6498E">
                  <w:pPr>
                    <w:jc w:val="center"/>
                    <w:rPr>
                      <w:rFonts w:cstheme="minorHAnsi"/>
                    </w:rPr>
                  </w:pPr>
                  <w:r>
                    <w:rPr>
                      <w:rFonts w:cstheme="minorHAnsi"/>
                    </w:rPr>
                    <w:t>Name of the State</w:t>
                  </w:r>
                </w:p>
              </w:tc>
              <w:tc>
                <w:tcPr>
                  <w:tcW w:w="1881" w:type="dxa"/>
                  <w:vAlign w:val="center"/>
                </w:tcPr>
                <w:p w:rsidR="00D6498E" w:rsidRDefault="00D6498E" w:rsidP="00D6498E">
                  <w:pPr>
                    <w:jc w:val="center"/>
                    <w:rPr>
                      <w:rFonts w:cstheme="minorHAnsi"/>
                    </w:rPr>
                  </w:pPr>
                  <w:r>
                    <w:rPr>
                      <w:rFonts w:cstheme="minorHAnsi"/>
                    </w:rPr>
                    <w:t>Per Capita (based on 2011 census)</w:t>
                  </w:r>
                </w:p>
              </w:tc>
              <w:tc>
                <w:tcPr>
                  <w:tcW w:w="1745" w:type="dxa"/>
                  <w:vAlign w:val="center"/>
                </w:tcPr>
                <w:p w:rsidR="00D6498E" w:rsidRDefault="00D6498E" w:rsidP="00D6498E">
                  <w:pPr>
                    <w:jc w:val="center"/>
                    <w:rPr>
                      <w:rFonts w:cstheme="minorHAnsi"/>
                    </w:rPr>
                  </w:pPr>
                  <w:r>
                    <w:rPr>
                      <w:rFonts w:cstheme="minorHAnsi"/>
                    </w:rPr>
                    <w:t>Remark</w:t>
                  </w:r>
                </w:p>
              </w:tc>
            </w:tr>
            <w:tr w:rsidR="00D6498E" w:rsidRPr="00227A70" w:rsidTr="00D6498E">
              <w:tc>
                <w:tcPr>
                  <w:tcW w:w="1428" w:type="dxa"/>
                  <w:vMerge w:val="restart"/>
                  <w:vAlign w:val="center"/>
                </w:tcPr>
                <w:p w:rsidR="00D6498E" w:rsidRDefault="00D6498E" w:rsidP="00D6498E">
                  <w:pPr>
                    <w:jc w:val="center"/>
                    <w:rPr>
                      <w:rFonts w:cstheme="minorHAnsi"/>
                    </w:rPr>
                  </w:pPr>
                  <w:r>
                    <w:rPr>
                      <w:rFonts w:cstheme="minorHAnsi"/>
                    </w:rPr>
                    <w:t>FY 2022-23 and 2023-24</w:t>
                  </w:r>
                </w:p>
              </w:tc>
              <w:tc>
                <w:tcPr>
                  <w:tcW w:w="1096" w:type="dxa"/>
                  <w:vAlign w:val="center"/>
                </w:tcPr>
                <w:p w:rsidR="00D6498E" w:rsidRDefault="00D6498E" w:rsidP="00D6498E">
                  <w:pPr>
                    <w:jc w:val="center"/>
                    <w:rPr>
                      <w:rFonts w:ascii="Calibri" w:hAnsi="Calibri" w:cs="Calibri"/>
                      <w:color w:val="000000"/>
                    </w:rPr>
                  </w:pPr>
                  <w:r>
                    <w:rPr>
                      <w:rFonts w:ascii="Calibri" w:hAnsi="Calibri" w:cs="Calibri"/>
                      <w:color w:val="000000"/>
                    </w:rPr>
                    <w:t>Punjab</w:t>
                  </w:r>
                </w:p>
              </w:tc>
              <w:tc>
                <w:tcPr>
                  <w:tcW w:w="1881" w:type="dxa"/>
                  <w:vAlign w:val="center"/>
                </w:tcPr>
                <w:p w:rsidR="00D6498E" w:rsidRDefault="00D6498E" w:rsidP="00D6498E">
                  <w:pPr>
                    <w:jc w:val="center"/>
                    <w:rPr>
                      <w:rFonts w:ascii="Calibri" w:hAnsi="Calibri" w:cs="Calibri"/>
                      <w:color w:val="000000"/>
                    </w:rPr>
                  </w:pPr>
                  <w:r>
                    <w:rPr>
                      <w:rFonts w:ascii="Calibri" w:hAnsi="Calibri" w:cs="Calibri"/>
                      <w:color w:val="000000"/>
                    </w:rPr>
                    <w:t xml:space="preserve">Rs </w:t>
                  </w:r>
                  <w:r w:rsidR="00A262E8">
                    <w:rPr>
                      <w:rFonts w:ascii="Calibri" w:hAnsi="Calibri" w:cs="Calibri"/>
                      <w:color w:val="000000"/>
                    </w:rPr>
                    <w:t>17</w:t>
                  </w:r>
                </w:p>
              </w:tc>
              <w:tc>
                <w:tcPr>
                  <w:tcW w:w="1745" w:type="dxa"/>
                  <w:vAlign w:val="center"/>
                </w:tcPr>
                <w:p w:rsidR="00D6498E" w:rsidRPr="00227A70" w:rsidRDefault="00D6498E" w:rsidP="00D6498E">
                  <w:pPr>
                    <w:jc w:val="center"/>
                    <w:rPr>
                      <w:rFonts w:ascii="Calibri" w:hAnsi="Calibri" w:cs="Calibri"/>
                      <w:color w:val="000000"/>
                    </w:rPr>
                  </w:pPr>
                  <w:r>
                    <w:rPr>
                      <w:rFonts w:ascii="Calibri" w:hAnsi="Calibri" w:cs="Calibri"/>
                      <w:color w:val="000000"/>
                    </w:rPr>
                    <w:t>Proposal of Rs 6</w:t>
                  </w:r>
                  <w:r w:rsidR="00A262E8">
                    <w:rPr>
                      <w:rFonts w:ascii="Calibri" w:hAnsi="Calibri" w:cs="Calibri"/>
                      <w:color w:val="000000"/>
                    </w:rPr>
                    <w:t>0</w:t>
                  </w:r>
                  <w:r>
                    <w:rPr>
                      <w:rFonts w:ascii="Calibri" w:hAnsi="Calibri" w:cs="Calibri"/>
                      <w:color w:val="000000"/>
                    </w:rPr>
                    <w:t xml:space="preserve"> per capita for the FY 2024-25</w:t>
                  </w:r>
                </w:p>
              </w:tc>
            </w:tr>
            <w:tr w:rsidR="00D6498E" w:rsidRPr="00227A70" w:rsidTr="00D6498E">
              <w:tc>
                <w:tcPr>
                  <w:tcW w:w="1428" w:type="dxa"/>
                  <w:vMerge/>
                </w:tcPr>
                <w:p w:rsidR="00D6498E" w:rsidRDefault="00D6498E" w:rsidP="00D6498E">
                  <w:pPr>
                    <w:jc w:val="center"/>
                    <w:rPr>
                      <w:rFonts w:cstheme="minorHAnsi"/>
                    </w:rPr>
                  </w:pPr>
                </w:p>
              </w:tc>
              <w:tc>
                <w:tcPr>
                  <w:tcW w:w="1096" w:type="dxa"/>
                  <w:vAlign w:val="center"/>
                </w:tcPr>
                <w:p w:rsidR="00D6498E" w:rsidRDefault="00D6498E" w:rsidP="00D6498E">
                  <w:pPr>
                    <w:jc w:val="center"/>
                    <w:rPr>
                      <w:rFonts w:ascii="Calibri" w:hAnsi="Calibri" w:cs="Calibri"/>
                      <w:color w:val="000000"/>
                    </w:rPr>
                  </w:pPr>
                  <w:r>
                    <w:rPr>
                      <w:rFonts w:ascii="Calibri" w:hAnsi="Calibri" w:cs="Calibri"/>
                      <w:color w:val="000000"/>
                    </w:rPr>
                    <w:t>Rajasthan</w:t>
                  </w:r>
                </w:p>
              </w:tc>
              <w:tc>
                <w:tcPr>
                  <w:tcW w:w="1881" w:type="dxa"/>
                  <w:vAlign w:val="center"/>
                </w:tcPr>
                <w:p w:rsidR="00D6498E" w:rsidRDefault="00D6498E" w:rsidP="00D6498E">
                  <w:pPr>
                    <w:jc w:val="center"/>
                    <w:rPr>
                      <w:rFonts w:ascii="Calibri" w:hAnsi="Calibri" w:cs="Calibri"/>
                      <w:color w:val="000000"/>
                    </w:rPr>
                  </w:pPr>
                  <w:r>
                    <w:rPr>
                      <w:rFonts w:ascii="Calibri" w:hAnsi="Calibri" w:cs="Calibri"/>
                      <w:color w:val="000000"/>
                    </w:rPr>
                    <w:t xml:space="preserve">Rs </w:t>
                  </w:r>
                  <w:r w:rsidR="00A262E8">
                    <w:rPr>
                      <w:rFonts w:ascii="Calibri" w:hAnsi="Calibri" w:cs="Calibri"/>
                      <w:color w:val="000000"/>
                    </w:rPr>
                    <w:t>92</w:t>
                  </w:r>
                </w:p>
              </w:tc>
              <w:tc>
                <w:tcPr>
                  <w:tcW w:w="1745" w:type="dxa"/>
                  <w:vAlign w:val="center"/>
                </w:tcPr>
                <w:p w:rsidR="00D6498E" w:rsidRDefault="00D6498E" w:rsidP="00D6498E">
                  <w:pPr>
                    <w:jc w:val="center"/>
                    <w:rPr>
                      <w:rFonts w:ascii="Calibri" w:hAnsi="Calibri" w:cs="Calibri"/>
                      <w:color w:val="000000"/>
                    </w:rPr>
                  </w:pPr>
                </w:p>
              </w:tc>
            </w:tr>
            <w:tr w:rsidR="00D6498E" w:rsidRPr="00227A70" w:rsidTr="00D6498E">
              <w:tc>
                <w:tcPr>
                  <w:tcW w:w="1428" w:type="dxa"/>
                  <w:vMerge/>
                </w:tcPr>
                <w:p w:rsidR="00D6498E" w:rsidRDefault="00D6498E" w:rsidP="00D6498E">
                  <w:pPr>
                    <w:jc w:val="center"/>
                    <w:rPr>
                      <w:rFonts w:cstheme="minorHAnsi"/>
                    </w:rPr>
                  </w:pPr>
                </w:p>
              </w:tc>
              <w:tc>
                <w:tcPr>
                  <w:tcW w:w="1096" w:type="dxa"/>
                  <w:vAlign w:val="center"/>
                </w:tcPr>
                <w:p w:rsidR="00D6498E" w:rsidRDefault="00D6498E" w:rsidP="00D6498E">
                  <w:pPr>
                    <w:jc w:val="center"/>
                    <w:rPr>
                      <w:rFonts w:ascii="Calibri" w:hAnsi="Calibri" w:cs="Calibri"/>
                      <w:color w:val="000000"/>
                    </w:rPr>
                  </w:pPr>
                  <w:r>
                    <w:rPr>
                      <w:rFonts w:ascii="Calibri" w:hAnsi="Calibri" w:cs="Calibri"/>
                      <w:color w:val="000000"/>
                    </w:rPr>
                    <w:t>Himachal</w:t>
                  </w:r>
                </w:p>
              </w:tc>
              <w:tc>
                <w:tcPr>
                  <w:tcW w:w="1881" w:type="dxa"/>
                  <w:vAlign w:val="center"/>
                </w:tcPr>
                <w:p w:rsidR="00D6498E" w:rsidRDefault="00D6498E" w:rsidP="00D6498E">
                  <w:pPr>
                    <w:jc w:val="center"/>
                    <w:rPr>
                      <w:rFonts w:ascii="Calibri" w:hAnsi="Calibri" w:cs="Calibri"/>
                      <w:color w:val="000000"/>
                    </w:rPr>
                  </w:pPr>
                  <w:r>
                    <w:rPr>
                      <w:rFonts w:ascii="Calibri" w:hAnsi="Calibri" w:cs="Calibri"/>
                      <w:color w:val="000000"/>
                    </w:rPr>
                    <w:t xml:space="preserve">Rs </w:t>
                  </w:r>
                  <w:r w:rsidR="00A262E8">
                    <w:rPr>
                      <w:rFonts w:ascii="Calibri" w:hAnsi="Calibri" w:cs="Calibri"/>
                      <w:color w:val="000000"/>
                    </w:rPr>
                    <w:t>146</w:t>
                  </w:r>
                </w:p>
              </w:tc>
              <w:tc>
                <w:tcPr>
                  <w:tcW w:w="1745" w:type="dxa"/>
                  <w:vAlign w:val="center"/>
                </w:tcPr>
                <w:p w:rsidR="00D6498E" w:rsidRDefault="00D6498E" w:rsidP="00D6498E">
                  <w:pPr>
                    <w:jc w:val="center"/>
                    <w:rPr>
                      <w:rFonts w:ascii="Calibri" w:hAnsi="Calibri" w:cs="Calibri"/>
                      <w:color w:val="000000"/>
                    </w:rPr>
                  </w:pPr>
                </w:p>
              </w:tc>
            </w:tr>
            <w:tr w:rsidR="00D6498E" w:rsidRPr="00227A70" w:rsidTr="00D6498E">
              <w:tc>
                <w:tcPr>
                  <w:tcW w:w="1428" w:type="dxa"/>
                  <w:vMerge/>
                </w:tcPr>
                <w:p w:rsidR="00D6498E" w:rsidRDefault="00D6498E" w:rsidP="00D6498E">
                  <w:pPr>
                    <w:jc w:val="center"/>
                    <w:rPr>
                      <w:rFonts w:cstheme="minorHAnsi"/>
                    </w:rPr>
                  </w:pPr>
                </w:p>
              </w:tc>
              <w:tc>
                <w:tcPr>
                  <w:tcW w:w="1096" w:type="dxa"/>
                  <w:vAlign w:val="center"/>
                </w:tcPr>
                <w:p w:rsidR="00D6498E" w:rsidRDefault="00D6498E" w:rsidP="00D6498E">
                  <w:pPr>
                    <w:jc w:val="center"/>
                    <w:rPr>
                      <w:rFonts w:ascii="Calibri" w:hAnsi="Calibri" w:cs="Calibri"/>
                      <w:color w:val="000000"/>
                    </w:rPr>
                  </w:pPr>
                  <w:r>
                    <w:rPr>
                      <w:rFonts w:ascii="Calibri" w:hAnsi="Calibri" w:cs="Calibri"/>
                      <w:color w:val="000000"/>
                    </w:rPr>
                    <w:t>Tamil Nadu</w:t>
                  </w:r>
                </w:p>
              </w:tc>
              <w:tc>
                <w:tcPr>
                  <w:tcW w:w="1881" w:type="dxa"/>
                  <w:vAlign w:val="center"/>
                </w:tcPr>
                <w:p w:rsidR="00D6498E" w:rsidRDefault="00D6498E" w:rsidP="00D6498E">
                  <w:pPr>
                    <w:jc w:val="center"/>
                    <w:rPr>
                      <w:rFonts w:ascii="Calibri" w:hAnsi="Calibri" w:cs="Calibri"/>
                      <w:color w:val="000000"/>
                    </w:rPr>
                  </w:pPr>
                  <w:r>
                    <w:rPr>
                      <w:rFonts w:ascii="Calibri" w:hAnsi="Calibri" w:cs="Calibri"/>
                      <w:color w:val="000000"/>
                    </w:rPr>
                    <w:t xml:space="preserve">Rs </w:t>
                  </w:r>
                  <w:r w:rsidR="00A262E8">
                    <w:rPr>
                      <w:rFonts w:ascii="Calibri" w:hAnsi="Calibri" w:cs="Calibri"/>
                      <w:color w:val="000000"/>
                    </w:rPr>
                    <w:t>21</w:t>
                  </w:r>
                </w:p>
              </w:tc>
              <w:tc>
                <w:tcPr>
                  <w:tcW w:w="1745" w:type="dxa"/>
                  <w:vAlign w:val="center"/>
                </w:tcPr>
                <w:p w:rsidR="00D6498E" w:rsidRDefault="00D6498E" w:rsidP="00D6498E">
                  <w:pPr>
                    <w:jc w:val="center"/>
                    <w:rPr>
                      <w:rFonts w:ascii="Calibri" w:hAnsi="Calibri" w:cs="Calibri"/>
                      <w:color w:val="000000"/>
                    </w:rPr>
                  </w:pPr>
                </w:p>
              </w:tc>
            </w:tr>
          </w:tbl>
          <w:p w:rsidR="00D6498E" w:rsidRPr="00433139" w:rsidRDefault="00D6498E" w:rsidP="00D6498E">
            <w:pPr>
              <w:pStyle w:val="ListParagraph"/>
              <w:ind w:left="360"/>
              <w:jc w:val="both"/>
              <w:rPr>
                <w:rFonts w:cstheme="minorHAnsi"/>
              </w:rPr>
            </w:pPr>
          </w:p>
          <w:p w:rsidR="00994CD0" w:rsidRPr="0029688B" w:rsidRDefault="00433139">
            <w:pPr>
              <w:pStyle w:val="ListParagraph"/>
              <w:numPr>
                <w:ilvl w:val="0"/>
                <w:numId w:val="3"/>
              </w:numPr>
              <w:jc w:val="both"/>
              <w:rPr>
                <w:rFonts w:cstheme="minorHAnsi"/>
              </w:rPr>
            </w:pPr>
            <w:r>
              <w:rPr>
                <w:rFonts w:cstheme="minorHAnsi"/>
              </w:rPr>
              <w:t xml:space="preserve">The state </w:t>
            </w:r>
            <w:r w:rsidR="00B67E69">
              <w:rPr>
                <w:rFonts w:cstheme="minorHAnsi"/>
              </w:rPr>
              <w:t xml:space="preserve">maintains a </w:t>
            </w:r>
            <w:r>
              <w:rPr>
                <w:rFonts w:cstheme="minorHAnsi"/>
              </w:rPr>
              <w:t>m</w:t>
            </w:r>
            <w:r w:rsidR="004A6AA9" w:rsidRPr="00317416">
              <w:rPr>
                <w:rFonts w:cstheme="minorHAnsi"/>
              </w:rPr>
              <w:t>inimum inventory level</w:t>
            </w:r>
            <w:r w:rsidR="00872CB2">
              <w:rPr>
                <w:rFonts w:cstheme="minorHAnsi"/>
              </w:rPr>
              <w:t xml:space="preserve">of </w:t>
            </w:r>
            <w:r w:rsidR="00B67E69">
              <w:rPr>
                <w:rFonts w:cstheme="minorHAnsi"/>
              </w:rPr>
              <w:t>0</w:t>
            </w:r>
            <w:r w:rsidR="00872CB2">
              <w:rPr>
                <w:rFonts w:cstheme="minorHAnsi"/>
              </w:rPr>
              <w:t>3 months at all health facilities</w:t>
            </w:r>
            <w:r w:rsidR="0029688B">
              <w:rPr>
                <w:rFonts w:cstheme="minorHAnsi"/>
              </w:rPr>
              <w:t>.</w:t>
            </w:r>
          </w:p>
          <w:p w:rsidR="00A63BCD" w:rsidRDefault="00A63BCD">
            <w:pPr>
              <w:pStyle w:val="ListParagraph"/>
              <w:numPr>
                <w:ilvl w:val="0"/>
                <w:numId w:val="9"/>
              </w:numPr>
              <w:jc w:val="both"/>
              <w:rPr>
                <w:rFonts w:cstheme="minorHAnsi"/>
              </w:rPr>
            </w:pPr>
            <w:r>
              <w:rPr>
                <w:rFonts w:cstheme="minorHAnsi"/>
              </w:rPr>
              <w:t>Change of 12.12% in the Wholesale Price Index (WPI) of drugs for calendar year 2022 (National Pharmaceutical Pricing Authority).</w:t>
            </w:r>
          </w:p>
          <w:p w:rsidR="00994CD0" w:rsidRPr="000405A7" w:rsidRDefault="000405A7">
            <w:pPr>
              <w:pStyle w:val="ListParagraph"/>
              <w:numPr>
                <w:ilvl w:val="0"/>
                <w:numId w:val="9"/>
              </w:numPr>
              <w:jc w:val="both"/>
              <w:rPr>
                <w:rFonts w:cstheme="minorHAnsi"/>
              </w:rPr>
            </w:pPr>
            <w:r>
              <w:rPr>
                <w:rFonts w:cstheme="minorHAnsi"/>
              </w:rPr>
              <w:t xml:space="preserve">The total amount includes </w:t>
            </w:r>
            <w:r w:rsidRPr="00CF71A8">
              <w:rPr>
                <w:rFonts w:cstheme="minorHAnsi"/>
              </w:rPr>
              <w:t>5%</w:t>
            </w:r>
            <w:r>
              <w:rPr>
                <w:rFonts w:cstheme="minorHAnsi"/>
              </w:rPr>
              <w:t xml:space="preserve"> contingency charges which are proposed to be utilised for strengthening of the drugs supply chain. The breakdown for the utilization is as per Annexure 1. </w:t>
            </w:r>
          </w:p>
          <w:p w:rsidR="000405A7" w:rsidRPr="00994CD0" w:rsidRDefault="000405A7" w:rsidP="00994CD0">
            <w:pPr>
              <w:jc w:val="both"/>
              <w:rPr>
                <w:rFonts w:cstheme="minorHAnsi"/>
                <w:strike/>
              </w:rPr>
            </w:pPr>
          </w:p>
        </w:tc>
        <w:tc>
          <w:tcPr>
            <w:tcW w:w="1136" w:type="dxa"/>
          </w:tcPr>
          <w:p w:rsidR="00820D93" w:rsidRDefault="00B7280E" w:rsidP="00820D93">
            <w:pPr>
              <w:jc w:val="center"/>
              <w:rPr>
                <w:rFonts w:cstheme="minorHAnsi"/>
              </w:rPr>
            </w:pPr>
            <w:r w:rsidRPr="00B7280E">
              <w:rPr>
                <w:rFonts w:cstheme="minorHAnsi"/>
              </w:rPr>
              <w:t>1</w:t>
            </w:r>
            <w:r w:rsidR="0075099D">
              <w:rPr>
                <w:rFonts w:cstheme="minorHAnsi"/>
              </w:rPr>
              <w:t>6,674</w:t>
            </w:r>
            <w:r w:rsidR="00357FA7" w:rsidRPr="00DB68F4">
              <w:rPr>
                <w:rFonts w:cstheme="minorHAnsi"/>
              </w:rPr>
              <w:t>.</w:t>
            </w:r>
            <w:r w:rsidR="0075099D">
              <w:rPr>
                <w:rFonts w:cstheme="minorHAnsi"/>
              </w:rPr>
              <w:t>38</w:t>
            </w:r>
          </w:p>
          <w:p w:rsidR="00482D5F" w:rsidRPr="00253377" w:rsidRDefault="00482D5F" w:rsidP="00820D93">
            <w:pPr>
              <w:jc w:val="center"/>
              <w:rPr>
                <w:rFonts w:cstheme="minorHAnsi"/>
              </w:rPr>
            </w:pPr>
          </w:p>
        </w:tc>
      </w:tr>
      <w:tr w:rsidR="000405A7" w:rsidRPr="00253377" w:rsidTr="00246A29">
        <w:trPr>
          <w:trHeight w:val="670"/>
          <w:jc w:val="center"/>
        </w:trPr>
        <w:tc>
          <w:tcPr>
            <w:tcW w:w="529" w:type="dxa"/>
          </w:tcPr>
          <w:p w:rsidR="000405A7" w:rsidRPr="00253377" w:rsidRDefault="000405A7">
            <w:pPr>
              <w:pStyle w:val="ListParagraph"/>
              <w:numPr>
                <w:ilvl w:val="0"/>
                <w:numId w:val="1"/>
              </w:numPr>
              <w:rPr>
                <w:rFonts w:cstheme="minorHAnsi"/>
              </w:rPr>
            </w:pPr>
          </w:p>
        </w:tc>
        <w:tc>
          <w:tcPr>
            <w:tcW w:w="1997" w:type="dxa"/>
          </w:tcPr>
          <w:p w:rsidR="000405A7" w:rsidRDefault="000405A7" w:rsidP="000405A7">
            <w:pPr>
              <w:jc w:val="both"/>
              <w:rPr>
                <w:rFonts w:cstheme="minorHAnsi"/>
              </w:rPr>
            </w:pPr>
            <w:r>
              <w:rPr>
                <w:rFonts w:cstheme="minorHAnsi"/>
              </w:rPr>
              <w:t>Demand of drugs under JSSK programme</w:t>
            </w:r>
          </w:p>
        </w:tc>
        <w:tc>
          <w:tcPr>
            <w:tcW w:w="6662" w:type="dxa"/>
          </w:tcPr>
          <w:p w:rsidR="000405A7" w:rsidRPr="00492DC7" w:rsidRDefault="000405A7">
            <w:pPr>
              <w:pStyle w:val="ListParagraph"/>
              <w:numPr>
                <w:ilvl w:val="0"/>
                <w:numId w:val="3"/>
              </w:numPr>
              <w:jc w:val="both"/>
            </w:pPr>
            <w:r>
              <w:rPr>
                <w:rFonts w:cstheme="minorHAnsi"/>
              </w:rPr>
              <w:t xml:space="preserve">State purchased drugs &amp; consumables worth Rs 11.48 crores in the F.Y. 2022-23. </w:t>
            </w:r>
          </w:p>
          <w:p w:rsidR="00492DC7" w:rsidRPr="00BE7DDA" w:rsidRDefault="00492DC7" w:rsidP="00492DC7">
            <w:pPr>
              <w:jc w:val="both"/>
              <w:rPr>
                <w:rFonts w:cstheme="minorHAnsi"/>
              </w:rPr>
            </w:pPr>
          </w:p>
          <w:p w:rsidR="00492DC7" w:rsidRPr="00492DC7" w:rsidRDefault="00492DC7">
            <w:pPr>
              <w:pStyle w:val="ListParagraph"/>
              <w:numPr>
                <w:ilvl w:val="0"/>
                <w:numId w:val="3"/>
              </w:numPr>
              <w:jc w:val="both"/>
              <w:rPr>
                <w:rFonts w:cstheme="minorHAnsi"/>
              </w:rPr>
            </w:pPr>
            <w:r>
              <w:rPr>
                <w:rFonts w:cstheme="minorHAnsi"/>
              </w:rPr>
              <w:t>Change of 12.12% in the Wholesale Price Index (WPI) of drugs for calendar year 2022 (National Pharmaceutical Pricing Authority).</w:t>
            </w:r>
          </w:p>
        </w:tc>
        <w:tc>
          <w:tcPr>
            <w:tcW w:w="1136" w:type="dxa"/>
          </w:tcPr>
          <w:p w:rsidR="000405A7" w:rsidRPr="00482D5F" w:rsidRDefault="000405A7" w:rsidP="000405A7">
            <w:pPr>
              <w:jc w:val="center"/>
              <w:rPr>
                <w:rFonts w:cstheme="minorHAnsi"/>
                <w:highlight w:val="yellow"/>
              </w:rPr>
            </w:pPr>
            <w:r>
              <w:rPr>
                <w:rFonts w:cstheme="minorHAnsi"/>
              </w:rPr>
              <w:t>1,</w:t>
            </w:r>
            <w:r w:rsidR="0075099D">
              <w:rPr>
                <w:rFonts w:cstheme="minorHAnsi"/>
              </w:rPr>
              <w:t>3</w:t>
            </w:r>
            <w:r>
              <w:rPr>
                <w:rFonts w:cstheme="minorHAnsi"/>
              </w:rPr>
              <w:t>00</w:t>
            </w:r>
            <w:r w:rsidR="004C7AB6">
              <w:rPr>
                <w:rFonts w:cstheme="minorHAnsi"/>
              </w:rPr>
              <w:t>.00</w:t>
            </w:r>
          </w:p>
        </w:tc>
      </w:tr>
      <w:tr w:rsidR="000405A7" w:rsidRPr="00253377" w:rsidTr="00246A29">
        <w:trPr>
          <w:trHeight w:val="670"/>
          <w:jc w:val="center"/>
        </w:trPr>
        <w:tc>
          <w:tcPr>
            <w:tcW w:w="529" w:type="dxa"/>
          </w:tcPr>
          <w:p w:rsidR="000405A7" w:rsidRPr="00253377" w:rsidRDefault="000405A7" w:rsidP="000405A7">
            <w:pPr>
              <w:pStyle w:val="ListParagraph"/>
              <w:ind w:left="360"/>
              <w:rPr>
                <w:rFonts w:cstheme="minorHAnsi"/>
              </w:rPr>
            </w:pPr>
          </w:p>
        </w:tc>
        <w:tc>
          <w:tcPr>
            <w:tcW w:w="1997" w:type="dxa"/>
          </w:tcPr>
          <w:p w:rsidR="000405A7" w:rsidRDefault="000405A7" w:rsidP="000405A7">
            <w:pPr>
              <w:jc w:val="both"/>
              <w:rPr>
                <w:rFonts w:cstheme="minorHAnsi"/>
              </w:rPr>
            </w:pPr>
          </w:p>
        </w:tc>
        <w:tc>
          <w:tcPr>
            <w:tcW w:w="6662" w:type="dxa"/>
            <w:vAlign w:val="center"/>
          </w:tcPr>
          <w:p w:rsidR="000405A7" w:rsidRPr="000405A7" w:rsidRDefault="000405A7" w:rsidP="000405A7">
            <w:pPr>
              <w:jc w:val="center"/>
              <w:rPr>
                <w:rFonts w:cstheme="minorHAnsi"/>
              </w:rPr>
            </w:pPr>
            <w:r w:rsidRPr="00253377">
              <w:rPr>
                <w:rFonts w:cstheme="minorHAnsi"/>
                <w:b/>
              </w:rPr>
              <w:t>Total (Rs. In Lac)</w:t>
            </w:r>
          </w:p>
        </w:tc>
        <w:tc>
          <w:tcPr>
            <w:tcW w:w="1136" w:type="dxa"/>
            <w:vAlign w:val="center"/>
          </w:tcPr>
          <w:p w:rsidR="000405A7" w:rsidRPr="000405A7" w:rsidRDefault="00DC49E3" w:rsidP="000405A7">
            <w:pPr>
              <w:jc w:val="center"/>
              <w:rPr>
                <w:rFonts w:cstheme="minorHAnsi"/>
                <w:b/>
                <w:bCs/>
              </w:rPr>
            </w:pPr>
            <w:r w:rsidRPr="00DC49E3">
              <w:rPr>
                <w:rFonts w:cstheme="minorHAnsi"/>
                <w:b/>
                <w:bCs/>
              </w:rPr>
              <w:t>1</w:t>
            </w:r>
            <w:r w:rsidR="0075099D">
              <w:rPr>
                <w:rFonts w:cstheme="minorHAnsi"/>
                <w:b/>
                <w:bCs/>
              </w:rPr>
              <w:t>7,974</w:t>
            </w:r>
            <w:r w:rsidRPr="00DC49E3">
              <w:rPr>
                <w:rFonts w:cstheme="minorHAnsi"/>
                <w:b/>
                <w:bCs/>
              </w:rPr>
              <w:t>.</w:t>
            </w:r>
            <w:r w:rsidR="0075099D">
              <w:rPr>
                <w:rFonts w:cstheme="minorHAnsi"/>
                <w:b/>
                <w:bCs/>
              </w:rPr>
              <w:t>38</w:t>
            </w:r>
          </w:p>
        </w:tc>
      </w:tr>
      <w:tr w:rsidR="000405A7" w:rsidRPr="00253377" w:rsidTr="009A5EA2">
        <w:trPr>
          <w:trHeight w:val="670"/>
          <w:jc w:val="center"/>
        </w:trPr>
        <w:tc>
          <w:tcPr>
            <w:tcW w:w="10324" w:type="dxa"/>
            <w:gridSpan w:val="4"/>
            <w:vAlign w:val="center"/>
          </w:tcPr>
          <w:p w:rsidR="000405A7" w:rsidRPr="009A5EA2" w:rsidRDefault="000405A7" w:rsidP="000405A7">
            <w:pPr>
              <w:rPr>
                <w:rFonts w:cstheme="minorHAnsi"/>
                <w:b/>
                <w:bCs/>
              </w:rPr>
            </w:pPr>
            <w:r>
              <w:rPr>
                <w:rFonts w:cstheme="minorHAnsi"/>
                <w:b/>
                <w:bCs/>
              </w:rPr>
              <w:lastRenderedPageBreak/>
              <w:t xml:space="preserve">Annexure 1: </w:t>
            </w:r>
            <w:r w:rsidRPr="009A5EA2">
              <w:rPr>
                <w:rFonts w:cstheme="minorHAnsi"/>
                <w:b/>
                <w:bCs/>
              </w:rPr>
              <w:t>Transporting and Warehousing</w:t>
            </w:r>
          </w:p>
        </w:tc>
      </w:tr>
      <w:tr w:rsidR="000405A7" w:rsidRPr="00253377" w:rsidTr="00246A29">
        <w:trPr>
          <w:trHeight w:val="670"/>
          <w:jc w:val="center"/>
        </w:trPr>
        <w:tc>
          <w:tcPr>
            <w:tcW w:w="529" w:type="dxa"/>
          </w:tcPr>
          <w:p w:rsidR="000405A7" w:rsidRPr="00253377" w:rsidRDefault="000405A7">
            <w:pPr>
              <w:pStyle w:val="ListParagraph"/>
              <w:numPr>
                <w:ilvl w:val="0"/>
                <w:numId w:val="10"/>
              </w:numPr>
              <w:rPr>
                <w:rFonts w:cstheme="minorHAnsi"/>
              </w:rPr>
            </w:pPr>
          </w:p>
        </w:tc>
        <w:tc>
          <w:tcPr>
            <w:tcW w:w="1997" w:type="dxa"/>
          </w:tcPr>
          <w:p w:rsidR="000405A7" w:rsidRDefault="000405A7" w:rsidP="000405A7">
            <w:pPr>
              <w:jc w:val="both"/>
              <w:rPr>
                <w:rFonts w:cstheme="minorHAnsi"/>
              </w:rPr>
            </w:pPr>
            <w:r w:rsidRPr="00253377">
              <w:rPr>
                <w:rFonts w:cstheme="minorHAnsi"/>
              </w:rPr>
              <w:t>Funds for hiring of ten 01-ton trucks for transportation of drugs from Regional Drug Warehouses in Bathinda, Kharar and Verka to health Facilities.</w:t>
            </w:r>
          </w:p>
        </w:tc>
        <w:tc>
          <w:tcPr>
            <w:tcW w:w="6662" w:type="dxa"/>
          </w:tcPr>
          <w:p w:rsidR="000405A7" w:rsidRDefault="000405A7">
            <w:pPr>
              <w:pStyle w:val="ListParagraph"/>
              <w:numPr>
                <w:ilvl w:val="0"/>
                <w:numId w:val="4"/>
              </w:numPr>
              <w:jc w:val="both"/>
              <w:rPr>
                <w:rFonts w:cstheme="minorHAnsi"/>
              </w:rPr>
            </w:pPr>
            <w:r w:rsidRPr="00201FA5">
              <w:rPr>
                <w:rFonts w:cstheme="minorHAnsi"/>
              </w:rPr>
              <w:t>For strengthening the transport facility from RWH to heath facilities and sub-stores, fleet hiring is proposed.</w:t>
            </w:r>
          </w:p>
          <w:p w:rsidR="000405A7" w:rsidRDefault="000405A7">
            <w:pPr>
              <w:pStyle w:val="ListParagraph"/>
              <w:numPr>
                <w:ilvl w:val="0"/>
                <w:numId w:val="4"/>
              </w:numPr>
              <w:jc w:val="both"/>
              <w:rPr>
                <w:rFonts w:cstheme="minorHAnsi"/>
              </w:rPr>
            </w:pPr>
            <w:r w:rsidRPr="00201FA5">
              <w:rPr>
                <w:rFonts w:cstheme="minorHAnsi"/>
              </w:rPr>
              <w:t>Ten 1-tons truck are required for the supply from the Regional Drug Warehouses to CHCs</w:t>
            </w:r>
            <w:r>
              <w:rPr>
                <w:rFonts w:cstheme="minorHAnsi"/>
              </w:rPr>
              <w:t xml:space="preserve">, </w:t>
            </w:r>
            <w:r w:rsidRPr="00201FA5">
              <w:rPr>
                <w:rFonts w:cstheme="minorHAnsi"/>
              </w:rPr>
              <w:t>PHCs</w:t>
            </w:r>
            <w:r>
              <w:rPr>
                <w:rFonts w:cstheme="minorHAnsi"/>
              </w:rPr>
              <w:t xml:space="preserve"> and HWCs</w:t>
            </w:r>
            <w:r w:rsidRPr="00201FA5">
              <w:rPr>
                <w:rFonts w:cstheme="minorHAnsi"/>
              </w:rPr>
              <w:t xml:space="preserve"> in the State of Punjab.</w:t>
            </w:r>
          </w:p>
          <w:p w:rsidR="000405A7" w:rsidRDefault="000405A7">
            <w:pPr>
              <w:pStyle w:val="ListParagraph"/>
              <w:numPr>
                <w:ilvl w:val="0"/>
                <w:numId w:val="4"/>
              </w:numPr>
              <w:jc w:val="both"/>
              <w:rPr>
                <w:rFonts w:cstheme="minorHAnsi"/>
              </w:rPr>
            </w:pPr>
            <w:r w:rsidRPr="00201FA5">
              <w:rPr>
                <w:rFonts w:cstheme="minorHAnsi"/>
              </w:rPr>
              <w:t>01-Ton Truck (10 Trucks @ Rs. 1.98 Lac per month per truck, including manpower (2) and other running costs).</w:t>
            </w:r>
          </w:p>
          <w:p w:rsidR="000638E7" w:rsidRPr="00EC57AC" w:rsidRDefault="000638E7">
            <w:pPr>
              <w:pStyle w:val="ListParagraph"/>
              <w:numPr>
                <w:ilvl w:val="0"/>
                <w:numId w:val="4"/>
              </w:numPr>
              <w:jc w:val="both"/>
              <w:rPr>
                <w:rFonts w:cstheme="minorHAnsi"/>
              </w:rPr>
            </w:pPr>
            <w:r>
              <w:rPr>
                <w:rFonts w:cstheme="minorHAnsi"/>
              </w:rPr>
              <w:t>This model is currently operational in the state, funds would be required to keep the model running to ensure drug fulfilment.</w:t>
            </w:r>
          </w:p>
        </w:tc>
        <w:tc>
          <w:tcPr>
            <w:tcW w:w="1136" w:type="dxa"/>
          </w:tcPr>
          <w:p w:rsidR="000405A7" w:rsidRDefault="000405A7" w:rsidP="000405A7">
            <w:pPr>
              <w:jc w:val="center"/>
              <w:rPr>
                <w:rFonts w:cstheme="minorHAnsi"/>
              </w:rPr>
            </w:pPr>
            <w:r w:rsidRPr="00CF6588">
              <w:rPr>
                <w:rFonts w:cstheme="minorHAnsi"/>
              </w:rPr>
              <w:t>237.6</w:t>
            </w:r>
            <w:r>
              <w:rPr>
                <w:rFonts w:cstheme="minorHAnsi"/>
              </w:rPr>
              <w:t>0</w:t>
            </w:r>
          </w:p>
        </w:tc>
      </w:tr>
      <w:tr w:rsidR="000405A7" w:rsidRPr="00253377" w:rsidTr="00246A29">
        <w:trPr>
          <w:trHeight w:val="670"/>
          <w:jc w:val="center"/>
        </w:trPr>
        <w:tc>
          <w:tcPr>
            <w:tcW w:w="529" w:type="dxa"/>
          </w:tcPr>
          <w:p w:rsidR="000405A7" w:rsidRPr="00253377" w:rsidRDefault="000405A7">
            <w:pPr>
              <w:pStyle w:val="ListParagraph"/>
              <w:numPr>
                <w:ilvl w:val="0"/>
                <w:numId w:val="10"/>
              </w:numPr>
              <w:rPr>
                <w:rFonts w:cstheme="minorHAnsi"/>
              </w:rPr>
            </w:pPr>
          </w:p>
        </w:tc>
        <w:tc>
          <w:tcPr>
            <w:tcW w:w="1997" w:type="dxa"/>
          </w:tcPr>
          <w:p w:rsidR="000405A7" w:rsidRPr="00253377" w:rsidRDefault="000405A7" w:rsidP="000405A7">
            <w:pPr>
              <w:jc w:val="both"/>
              <w:rPr>
                <w:rFonts w:cstheme="minorHAnsi"/>
              </w:rPr>
            </w:pPr>
            <w:r>
              <w:rPr>
                <w:rFonts w:cstheme="minorHAnsi"/>
              </w:rPr>
              <w:t>Operational Charges for Regional Drug Warehouse at Bathinda, Kharar (SAS Nagar), Verka (Amritsar)</w:t>
            </w:r>
          </w:p>
        </w:tc>
        <w:tc>
          <w:tcPr>
            <w:tcW w:w="6662" w:type="dxa"/>
            <w:vAlign w:val="center"/>
          </w:tcPr>
          <w:p w:rsidR="000405A7" w:rsidRDefault="000405A7">
            <w:pPr>
              <w:pStyle w:val="ListParagraph"/>
              <w:numPr>
                <w:ilvl w:val="0"/>
                <w:numId w:val="4"/>
              </w:numPr>
              <w:jc w:val="both"/>
              <w:rPr>
                <w:rFonts w:cstheme="minorHAnsi"/>
              </w:rPr>
            </w:pPr>
            <w:r>
              <w:rPr>
                <w:rFonts w:cstheme="minorHAnsi"/>
              </w:rPr>
              <w:t>This includes – Generator Running and maintenance, printing &amp; stationary, Internet Charges, electricity bill and other contingencies charges.</w:t>
            </w:r>
          </w:p>
          <w:p w:rsidR="000405A7" w:rsidRDefault="000405A7">
            <w:pPr>
              <w:pStyle w:val="ListParagraph"/>
              <w:numPr>
                <w:ilvl w:val="0"/>
                <w:numId w:val="4"/>
              </w:numPr>
            </w:pPr>
            <w:r>
              <w:t xml:space="preserve">Annual maintenance work at 03 regional drug warehouse in Bathinda, Kharar and Verka - </w:t>
            </w:r>
            <w:r w:rsidRPr="00C80014">
              <w:t>The rate @Rs 4.65 per sqft. per year.</w:t>
            </w:r>
            <w:r>
              <w:t xml:space="preserve"> Total approximate area for all regional drug warehouses is 48,000 sq ft.</w:t>
            </w:r>
          </w:p>
          <w:p w:rsidR="000405A7" w:rsidRDefault="000405A7">
            <w:pPr>
              <w:pStyle w:val="ListParagraph"/>
              <w:numPr>
                <w:ilvl w:val="0"/>
                <w:numId w:val="4"/>
              </w:numPr>
            </w:pPr>
            <w:r>
              <w:t>Equipment’s i.e., CCTVs, electric stackers, manual stackers, exhaust fans, AC units, Floodlights, wall fans etc. for 03 regional warehouses in Bathinda, Kharar and Verka.</w:t>
            </w:r>
          </w:p>
          <w:p w:rsidR="000405A7" w:rsidRDefault="000405A7">
            <w:pPr>
              <w:pStyle w:val="ListParagraph"/>
              <w:numPr>
                <w:ilvl w:val="0"/>
                <w:numId w:val="4"/>
              </w:numPr>
            </w:pPr>
            <w:r>
              <w:t>AMC for cold storage at 03 regional warehouses in Bathinda, Kharar and Verka - Cost of the walk-in-cooler present at 03 regional warehouses is approximate 5 lakhs, AMC amount is considered as 5% of the total cost of the equipment.</w:t>
            </w:r>
          </w:p>
          <w:p w:rsidR="000405A7" w:rsidRDefault="000405A7">
            <w:pPr>
              <w:pStyle w:val="ListParagraph"/>
              <w:numPr>
                <w:ilvl w:val="0"/>
                <w:numId w:val="4"/>
              </w:numPr>
            </w:pPr>
            <w:r>
              <w:t>Insurance for 03 regional drug warehouse in Bathinda, Kharar and Verka - Approximate cost of premium for inventory worth ~20 crore is @Rs 4 Lakh per warehouse per annum for S</w:t>
            </w:r>
            <w:r w:rsidRPr="00A569D2">
              <w:t xml:space="preserve">tandard Fire and Special perils </w:t>
            </w:r>
            <w:r>
              <w:t xml:space="preserve">Insurance </w:t>
            </w:r>
            <w:r w:rsidRPr="00A569D2">
              <w:t>Policy</w:t>
            </w:r>
            <w:r>
              <w:t>.</w:t>
            </w:r>
          </w:p>
          <w:p w:rsidR="000405A7" w:rsidRDefault="000405A7">
            <w:pPr>
              <w:pStyle w:val="ListParagraph"/>
              <w:numPr>
                <w:ilvl w:val="0"/>
                <w:numId w:val="4"/>
              </w:numPr>
            </w:pPr>
            <w:r>
              <w:t>Salaries for Human Resource at regional drug warehouse Bathinda, Kharar and Verka.</w:t>
            </w:r>
          </w:p>
          <w:p w:rsidR="000405A7" w:rsidRDefault="000405A7" w:rsidP="000405A7"/>
          <w:p w:rsidR="000405A7" w:rsidRPr="002D0903" w:rsidRDefault="000405A7" w:rsidP="000405A7">
            <w:r>
              <w:t>Refer to Annexure</w:t>
            </w:r>
            <w:r w:rsidR="00F7595A">
              <w:t xml:space="preserve">-A </w:t>
            </w:r>
            <w:r>
              <w:t>for detailed calculations.</w:t>
            </w:r>
          </w:p>
        </w:tc>
        <w:tc>
          <w:tcPr>
            <w:tcW w:w="1136" w:type="dxa"/>
          </w:tcPr>
          <w:p w:rsidR="000405A7" w:rsidRPr="00CF6588" w:rsidRDefault="000405A7" w:rsidP="000405A7">
            <w:pPr>
              <w:jc w:val="center"/>
              <w:rPr>
                <w:rFonts w:cstheme="minorHAnsi"/>
              </w:rPr>
            </w:pPr>
            <w:r>
              <w:rPr>
                <w:rFonts w:cstheme="minorHAnsi"/>
              </w:rPr>
              <w:t>49.00</w:t>
            </w:r>
          </w:p>
        </w:tc>
      </w:tr>
      <w:tr w:rsidR="00FC2304" w:rsidRPr="00253377" w:rsidTr="00246A29">
        <w:trPr>
          <w:trHeight w:val="670"/>
          <w:jc w:val="center"/>
        </w:trPr>
        <w:tc>
          <w:tcPr>
            <w:tcW w:w="529" w:type="dxa"/>
          </w:tcPr>
          <w:p w:rsidR="00FC2304" w:rsidRPr="00253377" w:rsidRDefault="00FC2304">
            <w:pPr>
              <w:pStyle w:val="ListParagraph"/>
              <w:numPr>
                <w:ilvl w:val="0"/>
                <w:numId w:val="10"/>
              </w:numPr>
              <w:rPr>
                <w:rFonts w:cstheme="minorHAnsi"/>
              </w:rPr>
            </w:pPr>
          </w:p>
        </w:tc>
        <w:tc>
          <w:tcPr>
            <w:tcW w:w="1997" w:type="dxa"/>
          </w:tcPr>
          <w:p w:rsidR="00FC2304" w:rsidRDefault="00FC2304" w:rsidP="000405A7">
            <w:pPr>
              <w:jc w:val="both"/>
            </w:pPr>
            <w:r>
              <w:t>Prescription Audits</w:t>
            </w:r>
            <w:r w:rsidR="005A7FED">
              <w:t xml:space="preserve"> at Selected Health Facilities</w:t>
            </w:r>
          </w:p>
        </w:tc>
        <w:tc>
          <w:tcPr>
            <w:tcW w:w="6662" w:type="dxa"/>
          </w:tcPr>
          <w:p w:rsidR="00FC2304" w:rsidRDefault="00FC2304">
            <w:pPr>
              <w:pStyle w:val="ListParagraph"/>
              <w:numPr>
                <w:ilvl w:val="0"/>
                <w:numId w:val="4"/>
              </w:numPr>
              <w:jc w:val="both"/>
              <w:rPr>
                <w:rFonts w:cstheme="minorHAnsi"/>
              </w:rPr>
            </w:pPr>
            <w:r>
              <w:rPr>
                <w:rFonts w:cstheme="minorHAnsi"/>
              </w:rPr>
              <w:t>Includes cost for Data Collection, cleaning, and management.</w:t>
            </w:r>
          </w:p>
          <w:p w:rsidR="00FC2304" w:rsidRDefault="00E21BBA">
            <w:pPr>
              <w:pStyle w:val="ListParagraph"/>
              <w:numPr>
                <w:ilvl w:val="0"/>
                <w:numId w:val="4"/>
              </w:numPr>
              <w:jc w:val="both"/>
              <w:rPr>
                <w:rFonts w:cstheme="minorHAnsi"/>
              </w:rPr>
            </w:pPr>
            <w:r>
              <w:rPr>
                <w:rFonts w:cstheme="minorHAnsi"/>
              </w:rPr>
              <w:t>Cost of p</w:t>
            </w:r>
            <w:r w:rsidR="00FC2304">
              <w:rPr>
                <w:rFonts w:cstheme="minorHAnsi"/>
              </w:rPr>
              <w:t>ost-audit implementation of recommendation</w:t>
            </w:r>
            <w:r>
              <w:rPr>
                <w:rFonts w:cstheme="minorHAnsi"/>
              </w:rPr>
              <w:t>.</w:t>
            </w:r>
          </w:p>
          <w:p w:rsidR="005A7FED" w:rsidRDefault="005A7FED">
            <w:pPr>
              <w:pStyle w:val="ListParagraph"/>
              <w:numPr>
                <w:ilvl w:val="0"/>
                <w:numId w:val="4"/>
              </w:numPr>
              <w:jc w:val="both"/>
              <w:rPr>
                <w:rFonts w:cstheme="minorHAnsi"/>
              </w:rPr>
            </w:pPr>
            <w:r>
              <w:rPr>
                <w:rFonts w:cstheme="minorHAnsi"/>
              </w:rPr>
              <w:t>Correlating Anti-microbial susceptibility test data (AST) with the data obtained by prescription audits.</w:t>
            </w:r>
          </w:p>
          <w:p w:rsidR="005A7FED" w:rsidRDefault="005A7FED">
            <w:pPr>
              <w:pStyle w:val="ListParagraph"/>
              <w:numPr>
                <w:ilvl w:val="0"/>
                <w:numId w:val="4"/>
              </w:numPr>
              <w:jc w:val="both"/>
              <w:rPr>
                <w:rFonts w:cstheme="minorHAnsi"/>
              </w:rPr>
            </w:pPr>
            <w:r>
              <w:rPr>
                <w:rFonts w:cstheme="minorHAnsi"/>
              </w:rPr>
              <w:t>Improve the prescription behaviour at health facilities across the state.</w:t>
            </w:r>
          </w:p>
          <w:p w:rsidR="00CB3C4E" w:rsidRDefault="00CB3C4E">
            <w:pPr>
              <w:pStyle w:val="ListParagraph"/>
              <w:numPr>
                <w:ilvl w:val="0"/>
                <w:numId w:val="4"/>
              </w:numPr>
              <w:jc w:val="both"/>
              <w:rPr>
                <w:rFonts w:cstheme="minorHAnsi"/>
              </w:rPr>
            </w:pPr>
            <w:r>
              <w:rPr>
                <w:rFonts w:cstheme="minorHAnsi"/>
              </w:rPr>
              <w:t>For the purpose of the Audit, 01 Medical College, 10 District Hospital, 10 Sub-District Hospitals, 05 CHCs and 05 PHCs and 05 HWCs would be considered.</w:t>
            </w:r>
            <w:r w:rsidR="007D782E">
              <w:rPr>
                <w:rFonts w:cstheme="minorHAnsi"/>
              </w:rPr>
              <w:t xml:space="preserve"> Sample size to be selected based on OPD numbers. Preferably facilities with high HMIS uptake.</w:t>
            </w:r>
          </w:p>
          <w:p w:rsidR="00FC2304" w:rsidRDefault="00FC2304">
            <w:pPr>
              <w:pStyle w:val="ListParagraph"/>
              <w:numPr>
                <w:ilvl w:val="0"/>
                <w:numId w:val="4"/>
              </w:numPr>
              <w:jc w:val="both"/>
              <w:rPr>
                <w:rFonts w:cstheme="minorHAnsi"/>
              </w:rPr>
            </w:pPr>
            <w:r>
              <w:rPr>
                <w:rFonts w:cstheme="minorHAnsi"/>
              </w:rPr>
              <w:t>Details as per Annexure-A</w:t>
            </w:r>
          </w:p>
        </w:tc>
        <w:tc>
          <w:tcPr>
            <w:tcW w:w="1136" w:type="dxa"/>
          </w:tcPr>
          <w:p w:rsidR="00FC2304" w:rsidRDefault="00990B04" w:rsidP="000405A7">
            <w:pPr>
              <w:jc w:val="center"/>
              <w:rPr>
                <w:rFonts w:cstheme="minorHAnsi"/>
              </w:rPr>
            </w:pPr>
            <w:r>
              <w:rPr>
                <w:rFonts w:cstheme="minorHAnsi"/>
              </w:rPr>
              <w:t>21.03</w:t>
            </w:r>
          </w:p>
        </w:tc>
      </w:tr>
      <w:tr w:rsidR="000405A7" w:rsidRPr="00253377" w:rsidTr="00246A29">
        <w:trPr>
          <w:trHeight w:val="349"/>
          <w:jc w:val="center"/>
        </w:trPr>
        <w:tc>
          <w:tcPr>
            <w:tcW w:w="529" w:type="dxa"/>
          </w:tcPr>
          <w:p w:rsidR="000405A7" w:rsidRPr="00253377" w:rsidRDefault="000405A7" w:rsidP="000405A7">
            <w:pPr>
              <w:pStyle w:val="ListParagraph"/>
              <w:ind w:left="360"/>
              <w:rPr>
                <w:rFonts w:cstheme="minorHAnsi"/>
              </w:rPr>
            </w:pPr>
          </w:p>
        </w:tc>
        <w:tc>
          <w:tcPr>
            <w:tcW w:w="1997" w:type="dxa"/>
          </w:tcPr>
          <w:p w:rsidR="000405A7" w:rsidRPr="00253377" w:rsidRDefault="000405A7" w:rsidP="000405A7">
            <w:pPr>
              <w:rPr>
                <w:rFonts w:cstheme="minorHAnsi"/>
                <w:b/>
              </w:rPr>
            </w:pPr>
          </w:p>
        </w:tc>
        <w:tc>
          <w:tcPr>
            <w:tcW w:w="6662" w:type="dxa"/>
          </w:tcPr>
          <w:p w:rsidR="000405A7" w:rsidRPr="00253377" w:rsidRDefault="000405A7" w:rsidP="000405A7">
            <w:pPr>
              <w:jc w:val="center"/>
              <w:rPr>
                <w:rFonts w:cstheme="minorHAnsi"/>
                <w:b/>
              </w:rPr>
            </w:pPr>
            <w:r w:rsidRPr="00253377">
              <w:rPr>
                <w:rFonts w:cstheme="minorHAnsi"/>
                <w:b/>
              </w:rPr>
              <w:t>Total (Rs. In Lac)</w:t>
            </w:r>
          </w:p>
        </w:tc>
        <w:tc>
          <w:tcPr>
            <w:tcW w:w="1136" w:type="dxa"/>
          </w:tcPr>
          <w:p w:rsidR="000405A7" w:rsidRPr="00253377" w:rsidRDefault="00285AB9" w:rsidP="000405A7">
            <w:pPr>
              <w:jc w:val="center"/>
              <w:rPr>
                <w:rFonts w:cstheme="minorHAnsi"/>
                <w:b/>
              </w:rPr>
            </w:pPr>
            <w:r>
              <w:rPr>
                <w:rFonts w:cstheme="minorHAnsi"/>
                <w:b/>
              </w:rPr>
              <w:t>307.63</w:t>
            </w:r>
          </w:p>
        </w:tc>
      </w:tr>
    </w:tbl>
    <w:p w:rsidR="005B69CA" w:rsidRDefault="005B69CA" w:rsidP="00ED301D">
      <w:pPr>
        <w:rPr>
          <w:b/>
          <w:bCs/>
          <w:u w:val="single"/>
        </w:rPr>
      </w:pPr>
    </w:p>
    <w:p w:rsidR="00285AB9" w:rsidRDefault="00285AB9" w:rsidP="00F42E87">
      <w:pPr>
        <w:jc w:val="center"/>
        <w:rPr>
          <w:b/>
          <w:bCs/>
          <w:u w:val="single"/>
        </w:rPr>
      </w:pPr>
    </w:p>
    <w:p w:rsidR="00285AB9" w:rsidRDefault="00285AB9" w:rsidP="00F42E87">
      <w:pPr>
        <w:jc w:val="center"/>
        <w:rPr>
          <w:b/>
          <w:bCs/>
          <w:u w:val="single"/>
        </w:rPr>
      </w:pPr>
    </w:p>
    <w:p w:rsidR="00285AB9" w:rsidRDefault="00285AB9" w:rsidP="00F42E87">
      <w:pPr>
        <w:jc w:val="center"/>
        <w:rPr>
          <w:b/>
          <w:bCs/>
          <w:u w:val="single"/>
        </w:rPr>
      </w:pPr>
    </w:p>
    <w:p w:rsidR="00285AB9" w:rsidRDefault="00285AB9" w:rsidP="00F42E87">
      <w:pPr>
        <w:jc w:val="center"/>
        <w:rPr>
          <w:b/>
          <w:bCs/>
          <w:u w:val="single"/>
        </w:rPr>
      </w:pPr>
    </w:p>
    <w:p w:rsidR="00F42E87" w:rsidRDefault="00F42E87" w:rsidP="00F42E87">
      <w:pPr>
        <w:jc w:val="center"/>
        <w:rPr>
          <w:b/>
          <w:bCs/>
          <w:u w:val="single"/>
        </w:rPr>
      </w:pPr>
      <w:r w:rsidRPr="00BE1ECD">
        <w:rPr>
          <w:b/>
          <w:bCs/>
          <w:u w:val="single"/>
        </w:rPr>
        <w:lastRenderedPageBreak/>
        <w:t xml:space="preserve">Proposal </w:t>
      </w:r>
      <w:r>
        <w:rPr>
          <w:b/>
          <w:bCs/>
          <w:u w:val="single"/>
        </w:rPr>
        <w:t>under Free Drugs Initiative Programme and JSSK</w:t>
      </w:r>
      <w:r w:rsidRPr="00BE1ECD">
        <w:rPr>
          <w:b/>
          <w:bCs/>
          <w:u w:val="single"/>
        </w:rPr>
        <w:t xml:space="preserve"> – PIP 202</w:t>
      </w:r>
      <w:r>
        <w:rPr>
          <w:b/>
          <w:bCs/>
          <w:u w:val="single"/>
        </w:rPr>
        <w:t>5</w:t>
      </w:r>
      <w:r w:rsidRPr="00BE1ECD">
        <w:rPr>
          <w:b/>
          <w:bCs/>
          <w:u w:val="single"/>
        </w:rPr>
        <w:t>-2</w:t>
      </w:r>
      <w:r>
        <w:rPr>
          <w:b/>
          <w:bCs/>
          <w:u w:val="single"/>
        </w:rPr>
        <w:t>6</w:t>
      </w:r>
    </w:p>
    <w:tbl>
      <w:tblPr>
        <w:tblStyle w:val="TableGrid"/>
        <w:tblW w:w="10324" w:type="dxa"/>
        <w:jc w:val="center"/>
        <w:tblLook w:val="04A0"/>
      </w:tblPr>
      <w:tblGrid>
        <w:gridCol w:w="529"/>
        <w:gridCol w:w="2989"/>
        <w:gridCol w:w="5387"/>
        <w:gridCol w:w="1419"/>
      </w:tblGrid>
      <w:tr w:rsidR="00832491" w:rsidRPr="00253377" w:rsidTr="00492DC7">
        <w:trPr>
          <w:trHeight w:val="539"/>
          <w:jc w:val="center"/>
        </w:trPr>
        <w:tc>
          <w:tcPr>
            <w:tcW w:w="529" w:type="dxa"/>
            <w:shd w:val="clear" w:color="auto" w:fill="BDD6EE" w:themeFill="accent1" w:themeFillTint="66"/>
            <w:vAlign w:val="center"/>
          </w:tcPr>
          <w:p w:rsidR="00832491" w:rsidRPr="00253377" w:rsidRDefault="00832491" w:rsidP="00B82622">
            <w:pPr>
              <w:jc w:val="center"/>
              <w:rPr>
                <w:rFonts w:cstheme="minorHAnsi"/>
                <w:b/>
                <w:bCs/>
              </w:rPr>
            </w:pPr>
            <w:r w:rsidRPr="00253377">
              <w:rPr>
                <w:rFonts w:cstheme="minorHAnsi"/>
                <w:b/>
                <w:bCs/>
              </w:rPr>
              <w:t>Sr.</w:t>
            </w:r>
          </w:p>
          <w:p w:rsidR="00832491" w:rsidRPr="00253377" w:rsidRDefault="00832491" w:rsidP="00B82622">
            <w:pPr>
              <w:jc w:val="center"/>
              <w:rPr>
                <w:rFonts w:cstheme="minorHAnsi"/>
                <w:b/>
                <w:bCs/>
              </w:rPr>
            </w:pPr>
            <w:r w:rsidRPr="00253377">
              <w:rPr>
                <w:rFonts w:cstheme="minorHAnsi"/>
                <w:b/>
                <w:bCs/>
              </w:rPr>
              <w:t>No</w:t>
            </w:r>
          </w:p>
        </w:tc>
        <w:tc>
          <w:tcPr>
            <w:tcW w:w="2989" w:type="dxa"/>
            <w:shd w:val="clear" w:color="auto" w:fill="BDD6EE" w:themeFill="accent1" w:themeFillTint="66"/>
            <w:vAlign w:val="center"/>
          </w:tcPr>
          <w:p w:rsidR="00832491" w:rsidRPr="00253377" w:rsidRDefault="00832491" w:rsidP="00B82622">
            <w:pPr>
              <w:jc w:val="center"/>
              <w:rPr>
                <w:rFonts w:cstheme="minorHAnsi"/>
                <w:b/>
                <w:bCs/>
              </w:rPr>
            </w:pPr>
            <w:r w:rsidRPr="00253377">
              <w:rPr>
                <w:rFonts w:cstheme="minorHAnsi"/>
                <w:b/>
                <w:bCs/>
              </w:rPr>
              <w:t>Particulars</w:t>
            </w:r>
          </w:p>
        </w:tc>
        <w:tc>
          <w:tcPr>
            <w:tcW w:w="5387" w:type="dxa"/>
            <w:shd w:val="clear" w:color="auto" w:fill="BDD6EE" w:themeFill="accent1" w:themeFillTint="66"/>
            <w:vAlign w:val="center"/>
          </w:tcPr>
          <w:p w:rsidR="00832491" w:rsidRPr="00253377" w:rsidRDefault="00832491" w:rsidP="00B82622">
            <w:pPr>
              <w:jc w:val="center"/>
              <w:rPr>
                <w:rFonts w:cstheme="minorHAnsi"/>
                <w:b/>
                <w:bCs/>
              </w:rPr>
            </w:pPr>
            <w:r w:rsidRPr="00253377">
              <w:rPr>
                <w:rFonts w:cstheme="minorHAnsi"/>
                <w:b/>
                <w:bCs/>
              </w:rPr>
              <w:t>Remarks</w:t>
            </w:r>
          </w:p>
        </w:tc>
        <w:tc>
          <w:tcPr>
            <w:tcW w:w="1419" w:type="dxa"/>
            <w:shd w:val="clear" w:color="auto" w:fill="BDD6EE" w:themeFill="accent1" w:themeFillTint="66"/>
            <w:vAlign w:val="center"/>
          </w:tcPr>
          <w:p w:rsidR="00832491" w:rsidRPr="00253377" w:rsidRDefault="00832491" w:rsidP="00B82622">
            <w:pPr>
              <w:jc w:val="center"/>
              <w:rPr>
                <w:rFonts w:cstheme="minorHAnsi"/>
                <w:b/>
                <w:bCs/>
              </w:rPr>
            </w:pPr>
            <w:r w:rsidRPr="00253377">
              <w:rPr>
                <w:rFonts w:cstheme="minorHAnsi"/>
                <w:b/>
                <w:bCs/>
              </w:rPr>
              <w:t>Cost in Rs.</w:t>
            </w:r>
          </w:p>
          <w:p w:rsidR="00832491" w:rsidRPr="00253377" w:rsidRDefault="00832491" w:rsidP="00B82622">
            <w:pPr>
              <w:jc w:val="center"/>
              <w:rPr>
                <w:rFonts w:cstheme="minorHAnsi"/>
                <w:b/>
                <w:bCs/>
              </w:rPr>
            </w:pPr>
            <w:r w:rsidRPr="00253377">
              <w:rPr>
                <w:rFonts w:cstheme="minorHAnsi"/>
                <w:b/>
                <w:bCs/>
              </w:rPr>
              <w:t>(In Lac)</w:t>
            </w:r>
          </w:p>
        </w:tc>
      </w:tr>
      <w:tr w:rsidR="009C6758" w:rsidRPr="00253377" w:rsidTr="00492DC7">
        <w:trPr>
          <w:trHeight w:val="670"/>
          <w:jc w:val="center"/>
        </w:trPr>
        <w:tc>
          <w:tcPr>
            <w:tcW w:w="529" w:type="dxa"/>
          </w:tcPr>
          <w:p w:rsidR="009C6758" w:rsidRPr="00253377" w:rsidRDefault="009C6758">
            <w:pPr>
              <w:pStyle w:val="ListParagraph"/>
              <w:numPr>
                <w:ilvl w:val="0"/>
                <w:numId w:val="8"/>
              </w:numPr>
              <w:rPr>
                <w:rFonts w:cstheme="minorHAnsi"/>
              </w:rPr>
            </w:pPr>
          </w:p>
        </w:tc>
        <w:tc>
          <w:tcPr>
            <w:tcW w:w="2989" w:type="dxa"/>
          </w:tcPr>
          <w:p w:rsidR="009C6758" w:rsidRPr="00253377" w:rsidRDefault="009C6758" w:rsidP="009C6758">
            <w:pPr>
              <w:jc w:val="both"/>
              <w:rPr>
                <w:rFonts w:cstheme="minorHAnsi"/>
              </w:rPr>
            </w:pPr>
            <w:r>
              <w:rPr>
                <w:rFonts w:cstheme="minorHAnsi"/>
              </w:rPr>
              <w:t>Demand of drugs under Free Drugs Initiative</w:t>
            </w:r>
          </w:p>
        </w:tc>
        <w:tc>
          <w:tcPr>
            <w:tcW w:w="5387" w:type="dxa"/>
          </w:tcPr>
          <w:p w:rsidR="009C6758" w:rsidRDefault="009C6758">
            <w:pPr>
              <w:pStyle w:val="ListParagraph"/>
              <w:numPr>
                <w:ilvl w:val="0"/>
                <w:numId w:val="3"/>
              </w:numPr>
              <w:jc w:val="both"/>
              <w:rPr>
                <w:rFonts w:cstheme="minorHAnsi"/>
              </w:rPr>
            </w:pPr>
            <w:r>
              <w:rPr>
                <w:rFonts w:cstheme="minorHAnsi"/>
              </w:rPr>
              <w:t xml:space="preserve">The state has observed increase in the number of OPD, IPD and value of purchase orders: - </w:t>
            </w:r>
          </w:p>
          <w:p w:rsidR="009C6758" w:rsidRPr="000F2EB8" w:rsidRDefault="009C6758" w:rsidP="009C6758">
            <w:pPr>
              <w:jc w:val="both"/>
              <w:rPr>
                <w:rFonts w:cstheme="minorHAnsi"/>
              </w:rPr>
            </w:pPr>
          </w:p>
          <w:tbl>
            <w:tblPr>
              <w:tblStyle w:val="TableGrid"/>
              <w:tblW w:w="0" w:type="auto"/>
              <w:tblInd w:w="27" w:type="dxa"/>
              <w:tblLook w:val="04A0"/>
            </w:tblPr>
            <w:tblGrid>
              <w:gridCol w:w="1080"/>
              <w:gridCol w:w="1090"/>
              <w:gridCol w:w="1090"/>
              <w:gridCol w:w="1874"/>
            </w:tblGrid>
            <w:tr w:rsidR="009C6758" w:rsidTr="005856D0">
              <w:tc>
                <w:tcPr>
                  <w:tcW w:w="1334" w:type="dxa"/>
                  <w:vAlign w:val="center"/>
                </w:tcPr>
                <w:p w:rsidR="009C6758" w:rsidRDefault="009C6758" w:rsidP="009C6758">
                  <w:pPr>
                    <w:jc w:val="center"/>
                    <w:rPr>
                      <w:rFonts w:cstheme="minorHAnsi"/>
                    </w:rPr>
                  </w:pPr>
                  <w:r>
                    <w:rPr>
                      <w:rFonts w:cstheme="minorHAnsi"/>
                    </w:rPr>
                    <w:t>Year</w:t>
                  </w:r>
                </w:p>
              </w:tc>
              <w:tc>
                <w:tcPr>
                  <w:tcW w:w="1135" w:type="dxa"/>
                  <w:vAlign w:val="center"/>
                </w:tcPr>
                <w:p w:rsidR="009C6758" w:rsidRDefault="009C6758" w:rsidP="009C6758">
                  <w:pPr>
                    <w:jc w:val="center"/>
                    <w:rPr>
                      <w:rFonts w:cstheme="minorHAnsi"/>
                    </w:rPr>
                  </w:pPr>
                  <w:r>
                    <w:rPr>
                      <w:rFonts w:cstheme="minorHAnsi"/>
                    </w:rPr>
                    <w:t>OPD</w:t>
                  </w:r>
                  <w:r>
                    <w:rPr>
                      <w:rStyle w:val="FootnoteReference"/>
                      <w:rFonts w:cstheme="minorHAnsi"/>
                    </w:rPr>
                    <w:footnoteReference w:id="6"/>
                  </w:r>
                </w:p>
              </w:tc>
              <w:tc>
                <w:tcPr>
                  <w:tcW w:w="1135" w:type="dxa"/>
                  <w:vAlign w:val="center"/>
                </w:tcPr>
                <w:p w:rsidR="009C6758" w:rsidRDefault="009C6758" w:rsidP="009C6758">
                  <w:pPr>
                    <w:jc w:val="center"/>
                    <w:rPr>
                      <w:rFonts w:cstheme="minorHAnsi"/>
                    </w:rPr>
                  </w:pPr>
                  <w:r>
                    <w:rPr>
                      <w:rFonts w:cstheme="minorHAnsi"/>
                    </w:rPr>
                    <w:t>IPD</w:t>
                  </w:r>
                  <w:r>
                    <w:rPr>
                      <w:rStyle w:val="FootnoteReference"/>
                      <w:rFonts w:cstheme="minorHAnsi"/>
                    </w:rPr>
                    <w:footnoteReference w:id="7"/>
                  </w:r>
                </w:p>
              </w:tc>
              <w:tc>
                <w:tcPr>
                  <w:tcW w:w="2491" w:type="dxa"/>
                  <w:vAlign w:val="center"/>
                </w:tcPr>
                <w:p w:rsidR="009C6758" w:rsidRDefault="009C6758" w:rsidP="009C6758">
                  <w:pPr>
                    <w:jc w:val="center"/>
                    <w:rPr>
                      <w:rFonts w:cstheme="minorHAnsi"/>
                    </w:rPr>
                  </w:pPr>
                  <w:r>
                    <w:rPr>
                      <w:rFonts w:cstheme="minorHAnsi"/>
                    </w:rPr>
                    <w:t xml:space="preserve">Value of PO issued under Free Drugs Initiative </w:t>
                  </w:r>
                  <w:r>
                    <w:rPr>
                      <w:rStyle w:val="FootnoteReference"/>
                      <w:rFonts w:cstheme="minorHAnsi"/>
                    </w:rPr>
                    <w:footnoteReference w:id="8"/>
                  </w:r>
                </w:p>
              </w:tc>
            </w:tr>
            <w:tr w:rsidR="009C6758" w:rsidTr="005856D0">
              <w:tc>
                <w:tcPr>
                  <w:tcW w:w="1334" w:type="dxa"/>
                </w:tcPr>
                <w:p w:rsidR="009C6758" w:rsidRDefault="009C6758" w:rsidP="009C6758">
                  <w:pPr>
                    <w:jc w:val="center"/>
                    <w:rPr>
                      <w:rFonts w:cstheme="minorHAnsi"/>
                    </w:rPr>
                  </w:pPr>
                  <w:r>
                    <w:rPr>
                      <w:rFonts w:cstheme="minorHAnsi"/>
                    </w:rPr>
                    <w:t>FY 2021-22</w:t>
                  </w:r>
                </w:p>
              </w:tc>
              <w:tc>
                <w:tcPr>
                  <w:tcW w:w="1135" w:type="dxa"/>
                </w:tcPr>
                <w:p w:rsidR="009C6758" w:rsidRDefault="009C6758" w:rsidP="009C6758">
                  <w:pPr>
                    <w:jc w:val="center"/>
                    <w:rPr>
                      <w:rFonts w:ascii="Calibri" w:hAnsi="Calibri" w:cs="Calibri"/>
                      <w:color w:val="000000"/>
                    </w:rPr>
                  </w:pPr>
                  <w:r>
                    <w:rPr>
                      <w:rFonts w:ascii="Calibri" w:hAnsi="Calibri" w:cs="Calibri"/>
                      <w:color w:val="000000"/>
                    </w:rPr>
                    <w:t>217 lakhs</w:t>
                  </w:r>
                </w:p>
              </w:tc>
              <w:tc>
                <w:tcPr>
                  <w:tcW w:w="1135" w:type="dxa"/>
                </w:tcPr>
                <w:p w:rsidR="009C6758" w:rsidRDefault="009C6758" w:rsidP="009C6758">
                  <w:pPr>
                    <w:jc w:val="center"/>
                    <w:rPr>
                      <w:rFonts w:ascii="Calibri" w:hAnsi="Calibri" w:cs="Calibri"/>
                      <w:color w:val="000000"/>
                    </w:rPr>
                  </w:pPr>
                  <w:r>
                    <w:rPr>
                      <w:rFonts w:ascii="Calibri" w:hAnsi="Calibri" w:cs="Calibri"/>
                      <w:color w:val="000000"/>
                    </w:rPr>
                    <w:t>7.35 lakhs</w:t>
                  </w:r>
                </w:p>
              </w:tc>
              <w:tc>
                <w:tcPr>
                  <w:tcW w:w="2491" w:type="dxa"/>
                </w:tcPr>
                <w:p w:rsidR="009C6758" w:rsidRPr="00227A70" w:rsidRDefault="009C6758" w:rsidP="009C6758">
                  <w:pPr>
                    <w:jc w:val="center"/>
                    <w:rPr>
                      <w:rFonts w:ascii="Calibri" w:hAnsi="Calibri" w:cs="Calibri"/>
                      <w:color w:val="000000"/>
                    </w:rPr>
                  </w:pPr>
                  <w:r>
                    <w:rPr>
                      <w:rFonts w:ascii="Calibri" w:hAnsi="Calibri" w:cs="Calibri"/>
                      <w:color w:val="000000"/>
                    </w:rPr>
                    <w:t>Rs 8,300 lakh</w:t>
                  </w:r>
                </w:p>
              </w:tc>
            </w:tr>
            <w:tr w:rsidR="009C6758" w:rsidTr="005856D0">
              <w:tc>
                <w:tcPr>
                  <w:tcW w:w="1334" w:type="dxa"/>
                  <w:vAlign w:val="center"/>
                </w:tcPr>
                <w:p w:rsidR="009C6758" w:rsidRDefault="009C6758" w:rsidP="009C6758">
                  <w:pPr>
                    <w:jc w:val="center"/>
                    <w:rPr>
                      <w:rFonts w:cstheme="minorHAnsi"/>
                    </w:rPr>
                  </w:pPr>
                  <w:r>
                    <w:rPr>
                      <w:rFonts w:cstheme="minorHAnsi"/>
                    </w:rPr>
                    <w:t>FY 2022-23</w:t>
                  </w:r>
                </w:p>
              </w:tc>
              <w:tc>
                <w:tcPr>
                  <w:tcW w:w="1135" w:type="dxa"/>
                  <w:vAlign w:val="center"/>
                </w:tcPr>
                <w:p w:rsidR="009C6758" w:rsidRDefault="009C6758" w:rsidP="009C6758">
                  <w:pPr>
                    <w:jc w:val="center"/>
                    <w:rPr>
                      <w:rFonts w:cstheme="minorHAnsi"/>
                    </w:rPr>
                  </w:pPr>
                  <w:r>
                    <w:rPr>
                      <w:rFonts w:cstheme="minorHAnsi"/>
                    </w:rPr>
                    <w:t>329 lakhs (52% increase)</w:t>
                  </w:r>
                </w:p>
              </w:tc>
              <w:tc>
                <w:tcPr>
                  <w:tcW w:w="1135" w:type="dxa"/>
                  <w:vAlign w:val="center"/>
                </w:tcPr>
                <w:p w:rsidR="009C6758" w:rsidRDefault="009C6758" w:rsidP="009C6758">
                  <w:pPr>
                    <w:jc w:val="center"/>
                    <w:rPr>
                      <w:rFonts w:cstheme="minorHAnsi"/>
                    </w:rPr>
                  </w:pPr>
                  <w:r>
                    <w:rPr>
                      <w:rFonts w:cstheme="minorHAnsi"/>
                    </w:rPr>
                    <w:t>9 lakhs</w:t>
                  </w:r>
                </w:p>
                <w:p w:rsidR="009C6758" w:rsidRDefault="009C6758" w:rsidP="009C6758">
                  <w:pPr>
                    <w:jc w:val="center"/>
                    <w:rPr>
                      <w:rFonts w:cstheme="minorHAnsi"/>
                    </w:rPr>
                  </w:pPr>
                  <w:r>
                    <w:rPr>
                      <w:rFonts w:cstheme="minorHAnsi"/>
                    </w:rPr>
                    <w:t>(22% increase)</w:t>
                  </w:r>
                </w:p>
              </w:tc>
              <w:tc>
                <w:tcPr>
                  <w:tcW w:w="2491" w:type="dxa"/>
                  <w:vAlign w:val="center"/>
                </w:tcPr>
                <w:p w:rsidR="009C6758" w:rsidRDefault="009C6758" w:rsidP="009C6758">
                  <w:pPr>
                    <w:jc w:val="center"/>
                    <w:rPr>
                      <w:rFonts w:cstheme="minorHAnsi"/>
                    </w:rPr>
                  </w:pPr>
                  <w:r>
                    <w:rPr>
                      <w:rFonts w:cstheme="minorHAnsi"/>
                    </w:rPr>
                    <w:t>Rs 14,237 lakh</w:t>
                  </w:r>
                </w:p>
                <w:p w:rsidR="009C6758" w:rsidRPr="007E7D40" w:rsidRDefault="009C6758" w:rsidP="009C6758">
                  <w:pPr>
                    <w:jc w:val="center"/>
                    <w:rPr>
                      <w:rFonts w:cstheme="minorHAnsi"/>
                    </w:rPr>
                  </w:pPr>
                  <w:r>
                    <w:rPr>
                      <w:rFonts w:cstheme="minorHAnsi"/>
                    </w:rPr>
                    <w:t>(71% increase)</w:t>
                  </w:r>
                </w:p>
              </w:tc>
            </w:tr>
          </w:tbl>
          <w:p w:rsidR="009C6758" w:rsidRDefault="009C6758" w:rsidP="009C6758">
            <w:pPr>
              <w:pStyle w:val="ListParagraph"/>
              <w:ind w:left="360"/>
              <w:jc w:val="both"/>
              <w:rPr>
                <w:rFonts w:cstheme="minorHAnsi"/>
              </w:rPr>
            </w:pPr>
          </w:p>
          <w:p w:rsidR="009C6758" w:rsidRDefault="009C6758">
            <w:pPr>
              <w:pStyle w:val="ListParagraph"/>
              <w:numPr>
                <w:ilvl w:val="0"/>
                <w:numId w:val="3"/>
              </w:numPr>
              <w:jc w:val="both"/>
              <w:rPr>
                <w:rFonts w:cstheme="minorHAnsi"/>
              </w:rPr>
            </w:pPr>
            <w:r>
              <w:rPr>
                <w:rFonts w:cstheme="minorHAnsi"/>
              </w:rPr>
              <w:t>The State Essential Drug List (EDL) has a total of 4</w:t>
            </w:r>
            <w:r w:rsidR="00BA42CF">
              <w:rPr>
                <w:rFonts w:cstheme="minorHAnsi"/>
              </w:rPr>
              <w:t>66</w:t>
            </w:r>
            <w:r>
              <w:rPr>
                <w:rFonts w:cstheme="minorHAnsi"/>
              </w:rPr>
              <w:t xml:space="preserve"> items in the list. </w:t>
            </w:r>
          </w:p>
          <w:p w:rsidR="009C6758" w:rsidRDefault="009C6758">
            <w:pPr>
              <w:pStyle w:val="ListParagraph"/>
              <w:numPr>
                <w:ilvl w:val="0"/>
                <w:numId w:val="3"/>
              </w:numPr>
              <w:jc w:val="both"/>
              <w:rPr>
                <w:rFonts w:cstheme="minorHAnsi"/>
              </w:rPr>
            </w:pPr>
            <w:r>
              <w:rPr>
                <w:rFonts w:cstheme="minorHAnsi"/>
              </w:rPr>
              <w:t>Per capita approvals under the free drugs initiative for different states</w:t>
            </w:r>
            <w:r>
              <w:rPr>
                <w:rStyle w:val="FootnoteReference"/>
                <w:rFonts w:cstheme="minorHAnsi"/>
              </w:rPr>
              <w:footnoteReference w:id="9"/>
            </w:r>
          </w:p>
          <w:tbl>
            <w:tblPr>
              <w:tblStyle w:val="TableGrid"/>
              <w:tblW w:w="0" w:type="auto"/>
              <w:tblInd w:w="27" w:type="dxa"/>
              <w:tblLook w:val="04A0"/>
            </w:tblPr>
            <w:tblGrid>
              <w:gridCol w:w="1137"/>
              <w:gridCol w:w="1096"/>
              <w:gridCol w:w="1468"/>
              <w:gridCol w:w="1433"/>
            </w:tblGrid>
            <w:tr w:rsidR="009C6758" w:rsidTr="00415033">
              <w:tc>
                <w:tcPr>
                  <w:tcW w:w="1137" w:type="dxa"/>
                  <w:vAlign w:val="center"/>
                </w:tcPr>
                <w:p w:rsidR="009C6758" w:rsidRDefault="009C6758" w:rsidP="009C6758">
                  <w:pPr>
                    <w:jc w:val="center"/>
                    <w:rPr>
                      <w:rFonts w:cstheme="minorHAnsi"/>
                    </w:rPr>
                  </w:pPr>
                  <w:r>
                    <w:rPr>
                      <w:rFonts w:cstheme="minorHAnsi"/>
                    </w:rPr>
                    <w:t>RoP FY</w:t>
                  </w:r>
                </w:p>
              </w:tc>
              <w:tc>
                <w:tcPr>
                  <w:tcW w:w="1096" w:type="dxa"/>
                  <w:vAlign w:val="center"/>
                </w:tcPr>
                <w:p w:rsidR="009C6758" w:rsidRDefault="009C6758" w:rsidP="009C6758">
                  <w:pPr>
                    <w:jc w:val="center"/>
                    <w:rPr>
                      <w:rFonts w:cstheme="minorHAnsi"/>
                    </w:rPr>
                  </w:pPr>
                  <w:r>
                    <w:rPr>
                      <w:rFonts w:cstheme="minorHAnsi"/>
                    </w:rPr>
                    <w:t>Name of the State</w:t>
                  </w:r>
                </w:p>
              </w:tc>
              <w:tc>
                <w:tcPr>
                  <w:tcW w:w="1468" w:type="dxa"/>
                  <w:vAlign w:val="center"/>
                </w:tcPr>
                <w:p w:rsidR="009C6758" w:rsidRDefault="009C6758" w:rsidP="009C6758">
                  <w:pPr>
                    <w:jc w:val="center"/>
                    <w:rPr>
                      <w:rFonts w:cstheme="minorHAnsi"/>
                    </w:rPr>
                  </w:pPr>
                  <w:r>
                    <w:rPr>
                      <w:rFonts w:cstheme="minorHAnsi"/>
                    </w:rPr>
                    <w:t>Per Capita (based on 2011 census)</w:t>
                  </w:r>
                </w:p>
              </w:tc>
              <w:tc>
                <w:tcPr>
                  <w:tcW w:w="1433" w:type="dxa"/>
                  <w:vAlign w:val="center"/>
                </w:tcPr>
                <w:p w:rsidR="009C6758" w:rsidRDefault="009C6758" w:rsidP="009C6758">
                  <w:pPr>
                    <w:jc w:val="center"/>
                    <w:rPr>
                      <w:rFonts w:cstheme="minorHAnsi"/>
                    </w:rPr>
                  </w:pPr>
                  <w:r>
                    <w:rPr>
                      <w:rFonts w:cstheme="minorHAnsi"/>
                    </w:rPr>
                    <w:t>Remark</w:t>
                  </w:r>
                </w:p>
              </w:tc>
            </w:tr>
            <w:tr w:rsidR="00415033" w:rsidRPr="00227A70" w:rsidTr="00415033">
              <w:tc>
                <w:tcPr>
                  <w:tcW w:w="1137" w:type="dxa"/>
                  <w:vMerge w:val="restart"/>
                  <w:vAlign w:val="center"/>
                </w:tcPr>
                <w:p w:rsidR="00415033" w:rsidRDefault="00415033" w:rsidP="00415033">
                  <w:pPr>
                    <w:jc w:val="center"/>
                    <w:rPr>
                      <w:rFonts w:cstheme="minorHAnsi"/>
                    </w:rPr>
                  </w:pPr>
                  <w:r>
                    <w:rPr>
                      <w:rFonts w:cstheme="minorHAnsi"/>
                    </w:rPr>
                    <w:t>FY 2022-23 and 2023-24</w:t>
                  </w:r>
                </w:p>
              </w:tc>
              <w:tc>
                <w:tcPr>
                  <w:tcW w:w="1096" w:type="dxa"/>
                  <w:vAlign w:val="center"/>
                </w:tcPr>
                <w:p w:rsidR="00415033" w:rsidRDefault="00415033" w:rsidP="00415033">
                  <w:pPr>
                    <w:jc w:val="center"/>
                    <w:rPr>
                      <w:rFonts w:ascii="Calibri" w:hAnsi="Calibri" w:cs="Calibri"/>
                      <w:color w:val="000000"/>
                    </w:rPr>
                  </w:pPr>
                  <w:r>
                    <w:rPr>
                      <w:rFonts w:ascii="Calibri" w:hAnsi="Calibri" w:cs="Calibri"/>
                      <w:color w:val="000000"/>
                    </w:rPr>
                    <w:t>Punjab</w:t>
                  </w:r>
                </w:p>
              </w:tc>
              <w:tc>
                <w:tcPr>
                  <w:tcW w:w="1468" w:type="dxa"/>
                  <w:vAlign w:val="center"/>
                </w:tcPr>
                <w:p w:rsidR="00415033" w:rsidRDefault="00415033" w:rsidP="00415033">
                  <w:pPr>
                    <w:jc w:val="center"/>
                    <w:rPr>
                      <w:rFonts w:ascii="Calibri" w:hAnsi="Calibri" w:cs="Calibri"/>
                      <w:color w:val="000000"/>
                    </w:rPr>
                  </w:pPr>
                  <w:r>
                    <w:rPr>
                      <w:rFonts w:ascii="Calibri" w:hAnsi="Calibri" w:cs="Calibri"/>
                      <w:color w:val="000000"/>
                    </w:rPr>
                    <w:t>Rs 17</w:t>
                  </w:r>
                </w:p>
              </w:tc>
              <w:tc>
                <w:tcPr>
                  <w:tcW w:w="1433" w:type="dxa"/>
                  <w:vAlign w:val="center"/>
                </w:tcPr>
                <w:p w:rsidR="00415033" w:rsidRPr="00227A70" w:rsidRDefault="00415033" w:rsidP="00415033">
                  <w:pPr>
                    <w:jc w:val="center"/>
                    <w:rPr>
                      <w:rFonts w:ascii="Calibri" w:hAnsi="Calibri" w:cs="Calibri"/>
                      <w:color w:val="000000"/>
                    </w:rPr>
                  </w:pPr>
                  <w:r>
                    <w:rPr>
                      <w:rFonts w:ascii="Calibri" w:hAnsi="Calibri" w:cs="Calibri"/>
                      <w:color w:val="000000"/>
                    </w:rPr>
                    <w:t>Proposal of Rs 67 per capita for the FY 2025-26</w:t>
                  </w:r>
                </w:p>
              </w:tc>
            </w:tr>
            <w:tr w:rsidR="00415033" w:rsidRPr="00227A70" w:rsidTr="00415033">
              <w:tc>
                <w:tcPr>
                  <w:tcW w:w="1137" w:type="dxa"/>
                  <w:vMerge/>
                </w:tcPr>
                <w:p w:rsidR="00415033" w:rsidRDefault="00415033" w:rsidP="00415033">
                  <w:pPr>
                    <w:jc w:val="center"/>
                    <w:rPr>
                      <w:rFonts w:cstheme="minorHAnsi"/>
                    </w:rPr>
                  </w:pPr>
                </w:p>
              </w:tc>
              <w:tc>
                <w:tcPr>
                  <w:tcW w:w="1096" w:type="dxa"/>
                  <w:vAlign w:val="center"/>
                </w:tcPr>
                <w:p w:rsidR="00415033" w:rsidRDefault="00415033" w:rsidP="00415033">
                  <w:pPr>
                    <w:jc w:val="center"/>
                    <w:rPr>
                      <w:rFonts w:ascii="Calibri" w:hAnsi="Calibri" w:cs="Calibri"/>
                      <w:color w:val="000000"/>
                    </w:rPr>
                  </w:pPr>
                  <w:r>
                    <w:rPr>
                      <w:rFonts w:ascii="Calibri" w:hAnsi="Calibri" w:cs="Calibri"/>
                      <w:color w:val="000000"/>
                    </w:rPr>
                    <w:t>Rajasthan</w:t>
                  </w:r>
                </w:p>
              </w:tc>
              <w:tc>
                <w:tcPr>
                  <w:tcW w:w="1468" w:type="dxa"/>
                  <w:vAlign w:val="center"/>
                </w:tcPr>
                <w:p w:rsidR="00415033" w:rsidRDefault="00415033" w:rsidP="00415033">
                  <w:pPr>
                    <w:jc w:val="center"/>
                    <w:rPr>
                      <w:rFonts w:ascii="Calibri" w:hAnsi="Calibri" w:cs="Calibri"/>
                      <w:color w:val="000000"/>
                    </w:rPr>
                  </w:pPr>
                  <w:r>
                    <w:rPr>
                      <w:rFonts w:ascii="Calibri" w:hAnsi="Calibri" w:cs="Calibri"/>
                      <w:color w:val="000000"/>
                    </w:rPr>
                    <w:t>Rs 92</w:t>
                  </w:r>
                </w:p>
              </w:tc>
              <w:tc>
                <w:tcPr>
                  <w:tcW w:w="1433" w:type="dxa"/>
                  <w:vAlign w:val="center"/>
                </w:tcPr>
                <w:p w:rsidR="00415033" w:rsidRDefault="00415033" w:rsidP="00415033">
                  <w:pPr>
                    <w:jc w:val="center"/>
                    <w:rPr>
                      <w:rFonts w:ascii="Calibri" w:hAnsi="Calibri" w:cs="Calibri"/>
                      <w:color w:val="000000"/>
                    </w:rPr>
                  </w:pPr>
                </w:p>
              </w:tc>
            </w:tr>
            <w:tr w:rsidR="00415033" w:rsidRPr="00227A70" w:rsidTr="00415033">
              <w:tc>
                <w:tcPr>
                  <w:tcW w:w="1137" w:type="dxa"/>
                  <w:vMerge/>
                </w:tcPr>
                <w:p w:rsidR="00415033" w:rsidRDefault="00415033" w:rsidP="00415033">
                  <w:pPr>
                    <w:jc w:val="center"/>
                    <w:rPr>
                      <w:rFonts w:cstheme="minorHAnsi"/>
                    </w:rPr>
                  </w:pPr>
                </w:p>
              </w:tc>
              <w:tc>
                <w:tcPr>
                  <w:tcW w:w="1096" w:type="dxa"/>
                  <w:vAlign w:val="center"/>
                </w:tcPr>
                <w:p w:rsidR="00415033" w:rsidRDefault="00415033" w:rsidP="00415033">
                  <w:pPr>
                    <w:jc w:val="center"/>
                    <w:rPr>
                      <w:rFonts w:ascii="Calibri" w:hAnsi="Calibri" w:cs="Calibri"/>
                      <w:color w:val="000000"/>
                    </w:rPr>
                  </w:pPr>
                  <w:r>
                    <w:rPr>
                      <w:rFonts w:ascii="Calibri" w:hAnsi="Calibri" w:cs="Calibri"/>
                      <w:color w:val="000000"/>
                    </w:rPr>
                    <w:t>Himachal</w:t>
                  </w:r>
                </w:p>
              </w:tc>
              <w:tc>
                <w:tcPr>
                  <w:tcW w:w="1468" w:type="dxa"/>
                  <w:vAlign w:val="center"/>
                </w:tcPr>
                <w:p w:rsidR="00415033" w:rsidRDefault="00415033" w:rsidP="00415033">
                  <w:pPr>
                    <w:jc w:val="center"/>
                    <w:rPr>
                      <w:rFonts w:ascii="Calibri" w:hAnsi="Calibri" w:cs="Calibri"/>
                      <w:color w:val="000000"/>
                    </w:rPr>
                  </w:pPr>
                  <w:r>
                    <w:rPr>
                      <w:rFonts w:ascii="Calibri" w:hAnsi="Calibri" w:cs="Calibri"/>
                      <w:color w:val="000000"/>
                    </w:rPr>
                    <w:t>Rs 146</w:t>
                  </w:r>
                </w:p>
              </w:tc>
              <w:tc>
                <w:tcPr>
                  <w:tcW w:w="1433" w:type="dxa"/>
                  <w:vAlign w:val="center"/>
                </w:tcPr>
                <w:p w:rsidR="00415033" w:rsidRDefault="00415033" w:rsidP="00415033">
                  <w:pPr>
                    <w:jc w:val="center"/>
                    <w:rPr>
                      <w:rFonts w:ascii="Calibri" w:hAnsi="Calibri" w:cs="Calibri"/>
                      <w:color w:val="000000"/>
                    </w:rPr>
                  </w:pPr>
                </w:p>
              </w:tc>
            </w:tr>
            <w:tr w:rsidR="00415033" w:rsidRPr="00227A70" w:rsidTr="00415033">
              <w:tc>
                <w:tcPr>
                  <w:tcW w:w="1137" w:type="dxa"/>
                  <w:vMerge/>
                </w:tcPr>
                <w:p w:rsidR="00415033" w:rsidRDefault="00415033" w:rsidP="00415033">
                  <w:pPr>
                    <w:jc w:val="center"/>
                    <w:rPr>
                      <w:rFonts w:cstheme="minorHAnsi"/>
                    </w:rPr>
                  </w:pPr>
                </w:p>
              </w:tc>
              <w:tc>
                <w:tcPr>
                  <w:tcW w:w="1096" w:type="dxa"/>
                  <w:vAlign w:val="center"/>
                </w:tcPr>
                <w:p w:rsidR="00415033" w:rsidRDefault="00415033" w:rsidP="00415033">
                  <w:pPr>
                    <w:jc w:val="center"/>
                    <w:rPr>
                      <w:rFonts w:ascii="Calibri" w:hAnsi="Calibri" w:cs="Calibri"/>
                      <w:color w:val="000000"/>
                    </w:rPr>
                  </w:pPr>
                  <w:r>
                    <w:rPr>
                      <w:rFonts w:ascii="Calibri" w:hAnsi="Calibri" w:cs="Calibri"/>
                      <w:color w:val="000000"/>
                    </w:rPr>
                    <w:t>Tamil Nadu</w:t>
                  </w:r>
                </w:p>
              </w:tc>
              <w:tc>
                <w:tcPr>
                  <w:tcW w:w="1468" w:type="dxa"/>
                  <w:vAlign w:val="center"/>
                </w:tcPr>
                <w:p w:rsidR="00415033" w:rsidRDefault="00415033" w:rsidP="00415033">
                  <w:pPr>
                    <w:jc w:val="center"/>
                    <w:rPr>
                      <w:rFonts w:ascii="Calibri" w:hAnsi="Calibri" w:cs="Calibri"/>
                      <w:color w:val="000000"/>
                    </w:rPr>
                  </w:pPr>
                  <w:r>
                    <w:rPr>
                      <w:rFonts w:ascii="Calibri" w:hAnsi="Calibri" w:cs="Calibri"/>
                      <w:color w:val="000000"/>
                    </w:rPr>
                    <w:t>Rs 21</w:t>
                  </w:r>
                </w:p>
              </w:tc>
              <w:tc>
                <w:tcPr>
                  <w:tcW w:w="1433" w:type="dxa"/>
                  <w:vAlign w:val="center"/>
                </w:tcPr>
                <w:p w:rsidR="00415033" w:rsidRDefault="00415033" w:rsidP="00415033">
                  <w:pPr>
                    <w:jc w:val="center"/>
                    <w:rPr>
                      <w:rFonts w:ascii="Calibri" w:hAnsi="Calibri" w:cs="Calibri"/>
                      <w:color w:val="000000"/>
                    </w:rPr>
                  </w:pPr>
                </w:p>
              </w:tc>
            </w:tr>
          </w:tbl>
          <w:p w:rsidR="009C6758" w:rsidRPr="00433139" w:rsidRDefault="009C6758" w:rsidP="009C6758">
            <w:pPr>
              <w:pStyle w:val="ListParagraph"/>
              <w:ind w:left="360"/>
              <w:jc w:val="both"/>
              <w:rPr>
                <w:rFonts w:cstheme="minorHAnsi"/>
              </w:rPr>
            </w:pPr>
          </w:p>
          <w:p w:rsidR="009C6758" w:rsidRPr="0029688B" w:rsidRDefault="009C6758">
            <w:pPr>
              <w:pStyle w:val="ListParagraph"/>
              <w:numPr>
                <w:ilvl w:val="0"/>
                <w:numId w:val="3"/>
              </w:numPr>
              <w:jc w:val="both"/>
              <w:rPr>
                <w:rFonts w:cstheme="minorHAnsi"/>
              </w:rPr>
            </w:pPr>
            <w:r>
              <w:rPr>
                <w:rFonts w:cstheme="minorHAnsi"/>
              </w:rPr>
              <w:t>The state maintains a m</w:t>
            </w:r>
            <w:r w:rsidRPr="00317416">
              <w:rPr>
                <w:rFonts w:cstheme="minorHAnsi"/>
              </w:rPr>
              <w:t>inimum inventory level</w:t>
            </w:r>
            <w:r>
              <w:rPr>
                <w:rFonts w:cstheme="minorHAnsi"/>
              </w:rPr>
              <w:t xml:space="preserve"> of 03 months at all health facilities.</w:t>
            </w:r>
          </w:p>
          <w:p w:rsidR="009C6758" w:rsidRDefault="009C6758">
            <w:pPr>
              <w:pStyle w:val="ListParagraph"/>
              <w:numPr>
                <w:ilvl w:val="0"/>
                <w:numId w:val="9"/>
              </w:numPr>
              <w:jc w:val="both"/>
              <w:rPr>
                <w:rFonts w:cstheme="minorHAnsi"/>
              </w:rPr>
            </w:pPr>
            <w:r>
              <w:rPr>
                <w:rFonts w:cstheme="minorHAnsi"/>
              </w:rPr>
              <w:t>Change of 12.12% in the Wholesale Price Index (WPI) of drugs for calendar year 2022 (National Pharmaceutical Pricing Authority).</w:t>
            </w:r>
          </w:p>
          <w:p w:rsidR="009C6758" w:rsidRPr="000405A7" w:rsidRDefault="009C6758">
            <w:pPr>
              <w:pStyle w:val="ListParagraph"/>
              <w:numPr>
                <w:ilvl w:val="0"/>
                <w:numId w:val="9"/>
              </w:numPr>
              <w:jc w:val="both"/>
              <w:rPr>
                <w:rFonts w:cstheme="minorHAnsi"/>
              </w:rPr>
            </w:pPr>
            <w:r>
              <w:rPr>
                <w:rFonts w:cstheme="minorHAnsi"/>
              </w:rPr>
              <w:t xml:space="preserve">The total amount includes </w:t>
            </w:r>
            <w:r w:rsidRPr="00CF71A8">
              <w:rPr>
                <w:rFonts w:cstheme="minorHAnsi"/>
              </w:rPr>
              <w:t>5%</w:t>
            </w:r>
            <w:r>
              <w:rPr>
                <w:rFonts w:cstheme="minorHAnsi"/>
              </w:rPr>
              <w:t xml:space="preserve"> contingency charges which are proposed to be utilised for strengthening of the drugs supply chain. The breakdown for the utilization is as per Annexure 1. </w:t>
            </w:r>
          </w:p>
          <w:p w:rsidR="009C6758" w:rsidRPr="00994CD0" w:rsidRDefault="009C6758" w:rsidP="009C6758">
            <w:pPr>
              <w:jc w:val="both"/>
              <w:rPr>
                <w:rFonts w:cstheme="minorHAnsi"/>
                <w:strike/>
              </w:rPr>
            </w:pPr>
          </w:p>
        </w:tc>
        <w:tc>
          <w:tcPr>
            <w:tcW w:w="1419" w:type="dxa"/>
          </w:tcPr>
          <w:p w:rsidR="009C6758" w:rsidRDefault="009C6758" w:rsidP="009C6758">
            <w:pPr>
              <w:jc w:val="center"/>
              <w:rPr>
                <w:rFonts w:cstheme="minorHAnsi"/>
              </w:rPr>
            </w:pPr>
            <w:r w:rsidRPr="0012221E">
              <w:rPr>
                <w:rFonts w:cstheme="minorHAnsi"/>
              </w:rPr>
              <w:t>1</w:t>
            </w:r>
            <w:r w:rsidR="0023175C">
              <w:rPr>
                <w:rFonts w:cstheme="minorHAnsi"/>
              </w:rPr>
              <w:t>8</w:t>
            </w:r>
            <w:r w:rsidRPr="0012221E">
              <w:rPr>
                <w:rFonts w:cstheme="minorHAnsi"/>
              </w:rPr>
              <w:t>,</w:t>
            </w:r>
            <w:r w:rsidR="0023175C">
              <w:rPr>
                <w:rFonts w:cstheme="minorHAnsi"/>
              </w:rPr>
              <w:t>695</w:t>
            </w:r>
            <w:r w:rsidRPr="002D5239">
              <w:rPr>
                <w:rFonts w:cstheme="minorHAnsi"/>
              </w:rPr>
              <w:t>.</w:t>
            </w:r>
            <w:r w:rsidR="0023175C">
              <w:rPr>
                <w:rFonts w:cstheme="minorHAnsi"/>
              </w:rPr>
              <w:t>32</w:t>
            </w:r>
          </w:p>
          <w:p w:rsidR="009C6758" w:rsidRPr="00253377" w:rsidRDefault="009C6758" w:rsidP="009C6758">
            <w:pPr>
              <w:rPr>
                <w:rFonts w:cstheme="minorHAnsi"/>
              </w:rPr>
            </w:pPr>
          </w:p>
        </w:tc>
      </w:tr>
      <w:tr w:rsidR="009C6758" w:rsidRPr="00253377" w:rsidTr="00492DC7">
        <w:trPr>
          <w:trHeight w:val="670"/>
          <w:jc w:val="center"/>
        </w:trPr>
        <w:tc>
          <w:tcPr>
            <w:tcW w:w="529" w:type="dxa"/>
          </w:tcPr>
          <w:p w:rsidR="009C6758" w:rsidRPr="00253377" w:rsidRDefault="009C6758">
            <w:pPr>
              <w:pStyle w:val="ListParagraph"/>
              <w:numPr>
                <w:ilvl w:val="0"/>
                <w:numId w:val="8"/>
              </w:numPr>
              <w:rPr>
                <w:rFonts w:cstheme="minorHAnsi"/>
              </w:rPr>
            </w:pPr>
          </w:p>
        </w:tc>
        <w:tc>
          <w:tcPr>
            <w:tcW w:w="2989" w:type="dxa"/>
          </w:tcPr>
          <w:p w:rsidR="009C6758" w:rsidRDefault="009C6758" w:rsidP="009C6758">
            <w:pPr>
              <w:jc w:val="both"/>
              <w:rPr>
                <w:rFonts w:cstheme="minorHAnsi"/>
              </w:rPr>
            </w:pPr>
            <w:r>
              <w:rPr>
                <w:rFonts w:cstheme="minorHAnsi"/>
              </w:rPr>
              <w:t>Demand of drugs under JSSK programme</w:t>
            </w:r>
          </w:p>
        </w:tc>
        <w:tc>
          <w:tcPr>
            <w:tcW w:w="5387" w:type="dxa"/>
          </w:tcPr>
          <w:p w:rsidR="009C6758" w:rsidRPr="00492DC7" w:rsidRDefault="009C6758">
            <w:pPr>
              <w:pStyle w:val="ListParagraph"/>
              <w:numPr>
                <w:ilvl w:val="0"/>
                <w:numId w:val="3"/>
              </w:numPr>
              <w:jc w:val="both"/>
            </w:pPr>
            <w:r>
              <w:rPr>
                <w:rFonts w:cstheme="minorHAnsi"/>
              </w:rPr>
              <w:t xml:space="preserve">State purchased drugs &amp; consumables worth Rs 11.48 crores in the F.Y. 2022-23. </w:t>
            </w:r>
          </w:p>
          <w:p w:rsidR="009C6758" w:rsidRPr="00492DC7" w:rsidRDefault="009C6758">
            <w:pPr>
              <w:pStyle w:val="ListParagraph"/>
              <w:numPr>
                <w:ilvl w:val="0"/>
                <w:numId w:val="3"/>
              </w:numPr>
              <w:jc w:val="both"/>
              <w:rPr>
                <w:rFonts w:cstheme="minorHAnsi"/>
              </w:rPr>
            </w:pPr>
            <w:r>
              <w:rPr>
                <w:rFonts w:cstheme="minorHAnsi"/>
              </w:rPr>
              <w:t>Change of 12.12% in the Wholesale Price Index (WPI) of drugs for calendar year 2022 (National Pharmaceutical Pricing Authority).</w:t>
            </w:r>
          </w:p>
        </w:tc>
        <w:tc>
          <w:tcPr>
            <w:tcW w:w="1419" w:type="dxa"/>
          </w:tcPr>
          <w:p w:rsidR="009C6758" w:rsidRPr="002D5239" w:rsidRDefault="009C6758" w:rsidP="009C6758">
            <w:pPr>
              <w:jc w:val="center"/>
              <w:rPr>
                <w:rFonts w:cstheme="minorHAnsi"/>
              </w:rPr>
            </w:pPr>
            <w:r>
              <w:rPr>
                <w:rFonts w:cstheme="minorHAnsi"/>
              </w:rPr>
              <w:t>1,</w:t>
            </w:r>
            <w:r w:rsidR="0075099D">
              <w:rPr>
                <w:rFonts w:cstheme="minorHAnsi"/>
              </w:rPr>
              <w:t>460</w:t>
            </w:r>
            <w:r>
              <w:rPr>
                <w:rFonts w:cstheme="minorHAnsi"/>
              </w:rPr>
              <w:t>.00</w:t>
            </w:r>
          </w:p>
        </w:tc>
      </w:tr>
      <w:tr w:rsidR="009C6758" w:rsidRPr="00253377" w:rsidTr="00492DC7">
        <w:trPr>
          <w:trHeight w:val="670"/>
          <w:jc w:val="center"/>
        </w:trPr>
        <w:tc>
          <w:tcPr>
            <w:tcW w:w="529" w:type="dxa"/>
          </w:tcPr>
          <w:p w:rsidR="009C6758" w:rsidRPr="00253377" w:rsidRDefault="009C6758" w:rsidP="009C6758">
            <w:pPr>
              <w:pStyle w:val="ListParagraph"/>
              <w:ind w:left="360"/>
              <w:rPr>
                <w:rFonts w:cstheme="minorHAnsi"/>
              </w:rPr>
            </w:pPr>
          </w:p>
        </w:tc>
        <w:tc>
          <w:tcPr>
            <w:tcW w:w="2989" w:type="dxa"/>
          </w:tcPr>
          <w:p w:rsidR="009C6758" w:rsidRDefault="009C6758" w:rsidP="009C6758">
            <w:pPr>
              <w:jc w:val="both"/>
              <w:rPr>
                <w:rFonts w:cstheme="minorHAnsi"/>
              </w:rPr>
            </w:pPr>
          </w:p>
        </w:tc>
        <w:tc>
          <w:tcPr>
            <w:tcW w:w="5387" w:type="dxa"/>
            <w:vAlign w:val="center"/>
          </w:tcPr>
          <w:p w:rsidR="009C6758" w:rsidRDefault="009C6758" w:rsidP="009C6758">
            <w:pPr>
              <w:jc w:val="center"/>
            </w:pPr>
            <w:r w:rsidRPr="00253377">
              <w:rPr>
                <w:rFonts w:cstheme="minorHAnsi"/>
                <w:b/>
              </w:rPr>
              <w:t>Total (Rs. In Lac)</w:t>
            </w:r>
          </w:p>
        </w:tc>
        <w:tc>
          <w:tcPr>
            <w:tcW w:w="1419" w:type="dxa"/>
            <w:vAlign w:val="center"/>
          </w:tcPr>
          <w:p w:rsidR="009C6758" w:rsidRPr="002D5239" w:rsidRDefault="009C6758" w:rsidP="009C6758">
            <w:pPr>
              <w:jc w:val="center"/>
              <w:rPr>
                <w:rFonts w:cstheme="minorHAnsi"/>
              </w:rPr>
            </w:pPr>
            <w:r w:rsidRPr="00492DC7">
              <w:rPr>
                <w:rFonts w:cstheme="minorHAnsi"/>
                <w:b/>
                <w:bCs/>
              </w:rPr>
              <w:t>20,</w:t>
            </w:r>
            <w:r w:rsidR="0023175C">
              <w:rPr>
                <w:rFonts w:cstheme="minorHAnsi"/>
                <w:b/>
                <w:bCs/>
              </w:rPr>
              <w:t>155</w:t>
            </w:r>
            <w:r>
              <w:rPr>
                <w:rFonts w:cstheme="minorHAnsi"/>
                <w:b/>
                <w:bCs/>
              </w:rPr>
              <w:t>.</w:t>
            </w:r>
            <w:r w:rsidR="0023175C">
              <w:rPr>
                <w:rFonts w:cstheme="minorHAnsi"/>
                <w:b/>
                <w:bCs/>
              </w:rPr>
              <w:t>32</w:t>
            </w:r>
          </w:p>
        </w:tc>
      </w:tr>
      <w:tr w:rsidR="009C6758" w:rsidRPr="00253377" w:rsidTr="00B82622">
        <w:trPr>
          <w:trHeight w:val="670"/>
          <w:jc w:val="center"/>
        </w:trPr>
        <w:tc>
          <w:tcPr>
            <w:tcW w:w="10324" w:type="dxa"/>
            <w:gridSpan w:val="4"/>
            <w:vAlign w:val="center"/>
          </w:tcPr>
          <w:p w:rsidR="009C6758" w:rsidRPr="009A5EA2" w:rsidRDefault="009C6758" w:rsidP="009C6758">
            <w:pPr>
              <w:rPr>
                <w:rFonts w:cstheme="minorHAnsi"/>
                <w:b/>
                <w:bCs/>
              </w:rPr>
            </w:pPr>
            <w:r>
              <w:rPr>
                <w:rFonts w:cstheme="minorHAnsi"/>
                <w:b/>
                <w:bCs/>
              </w:rPr>
              <w:lastRenderedPageBreak/>
              <w:t xml:space="preserve">Annexure 1: </w:t>
            </w:r>
            <w:r w:rsidRPr="009A5EA2">
              <w:rPr>
                <w:rFonts w:cstheme="minorHAnsi"/>
                <w:b/>
                <w:bCs/>
              </w:rPr>
              <w:t>Transporting and Warehousing</w:t>
            </w:r>
          </w:p>
        </w:tc>
      </w:tr>
      <w:tr w:rsidR="009C6758" w:rsidRPr="00253377" w:rsidTr="00492DC7">
        <w:trPr>
          <w:trHeight w:val="670"/>
          <w:jc w:val="center"/>
        </w:trPr>
        <w:tc>
          <w:tcPr>
            <w:tcW w:w="529" w:type="dxa"/>
          </w:tcPr>
          <w:p w:rsidR="009C6758" w:rsidRPr="00253377" w:rsidRDefault="009C6758">
            <w:pPr>
              <w:pStyle w:val="ListParagraph"/>
              <w:numPr>
                <w:ilvl w:val="0"/>
                <w:numId w:val="16"/>
              </w:numPr>
              <w:rPr>
                <w:rFonts w:cstheme="minorHAnsi"/>
              </w:rPr>
            </w:pPr>
          </w:p>
        </w:tc>
        <w:tc>
          <w:tcPr>
            <w:tcW w:w="2989" w:type="dxa"/>
          </w:tcPr>
          <w:p w:rsidR="009C6758" w:rsidRDefault="009C6758" w:rsidP="009C6758">
            <w:pPr>
              <w:jc w:val="both"/>
              <w:rPr>
                <w:rFonts w:cstheme="minorHAnsi"/>
              </w:rPr>
            </w:pPr>
            <w:r w:rsidRPr="00253377">
              <w:rPr>
                <w:rFonts w:cstheme="minorHAnsi"/>
              </w:rPr>
              <w:t>Funds for hiring of ten 01-ton trucks for transportation of drugs from Regional Drug Warehouses in Bathinda, Kharar and Verka to health Facilities.</w:t>
            </w:r>
          </w:p>
        </w:tc>
        <w:tc>
          <w:tcPr>
            <w:tcW w:w="5387" w:type="dxa"/>
          </w:tcPr>
          <w:p w:rsidR="009C6758" w:rsidRDefault="009C6758">
            <w:pPr>
              <w:pStyle w:val="ListParagraph"/>
              <w:numPr>
                <w:ilvl w:val="0"/>
                <w:numId w:val="4"/>
              </w:numPr>
              <w:jc w:val="both"/>
              <w:rPr>
                <w:rFonts w:cstheme="minorHAnsi"/>
              </w:rPr>
            </w:pPr>
            <w:r w:rsidRPr="00201FA5">
              <w:rPr>
                <w:rFonts w:cstheme="minorHAnsi"/>
              </w:rPr>
              <w:t>For strengthening the transport facility from RWH to heath facilities and sub-stores, fleet hiring is proposed.</w:t>
            </w:r>
          </w:p>
          <w:p w:rsidR="009C6758" w:rsidRDefault="009C6758">
            <w:pPr>
              <w:pStyle w:val="ListParagraph"/>
              <w:numPr>
                <w:ilvl w:val="0"/>
                <w:numId w:val="4"/>
              </w:numPr>
              <w:jc w:val="both"/>
              <w:rPr>
                <w:rFonts w:cstheme="minorHAnsi"/>
              </w:rPr>
            </w:pPr>
            <w:r w:rsidRPr="00201FA5">
              <w:rPr>
                <w:rFonts w:cstheme="minorHAnsi"/>
              </w:rPr>
              <w:t>Ten 1-tons truck are required for the supply from the Regional Drug Warehouses to CHCs</w:t>
            </w:r>
            <w:r>
              <w:rPr>
                <w:rFonts w:cstheme="minorHAnsi"/>
              </w:rPr>
              <w:t xml:space="preserve">, </w:t>
            </w:r>
            <w:r w:rsidRPr="00201FA5">
              <w:rPr>
                <w:rFonts w:cstheme="minorHAnsi"/>
              </w:rPr>
              <w:t>PHCs</w:t>
            </w:r>
            <w:r>
              <w:rPr>
                <w:rFonts w:cstheme="minorHAnsi"/>
              </w:rPr>
              <w:t xml:space="preserve"> and HWCs</w:t>
            </w:r>
            <w:r w:rsidRPr="00201FA5">
              <w:rPr>
                <w:rFonts w:cstheme="minorHAnsi"/>
              </w:rPr>
              <w:t xml:space="preserve"> in the State of Punjab.</w:t>
            </w:r>
          </w:p>
          <w:p w:rsidR="009C6758" w:rsidRDefault="009C6758">
            <w:pPr>
              <w:pStyle w:val="ListParagraph"/>
              <w:numPr>
                <w:ilvl w:val="0"/>
                <w:numId w:val="4"/>
              </w:numPr>
              <w:jc w:val="both"/>
              <w:rPr>
                <w:rFonts w:cstheme="minorHAnsi"/>
              </w:rPr>
            </w:pPr>
            <w:r w:rsidRPr="00201FA5">
              <w:rPr>
                <w:rFonts w:cstheme="minorHAnsi"/>
              </w:rPr>
              <w:t>01-Ton Truck (10 Trucks @ Rs. 1.98 Lac per month per truck, including manpower (2) and other running costs).</w:t>
            </w:r>
          </w:p>
          <w:p w:rsidR="009C6758" w:rsidRPr="00EC57AC" w:rsidRDefault="009C6758">
            <w:pPr>
              <w:pStyle w:val="ListParagraph"/>
              <w:numPr>
                <w:ilvl w:val="0"/>
                <w:numId w:val="4"/>
              </w:numPr>
              <w:jc w:val="both"/>
              <w:rPr>
                <w:rFonts w:cstheme="minorHAnsi"/>
              </w:rPr>
            </w:pPr>
            <w:r>
              <w:rPr>
                <w:rFonts w:cstheme="minorHAnsi"/>
              </w:rPr>
              <w:t>This model is currently operational in the state, funds would be required to keep the model running to ensure drug fulfilment.</w:t>
            </w:r>
          </w:p>
        </w:tc>
        <w:tc>
          <w:tcPr>
            <w:tcW w:w="1419" w:type="dxa"/>
          </w:tcPr>
          <w:p w:rsidR="009C6758" w:rsidRDefault="009C6758" w:rsidP="009C6758">
            <w:pPr>
              <w:jc w:val="center"/>
              <w:rPr>
                <w:rFonts w:cstheme="minorHAnsi"/>
              </w:rPr>
            </w:pPr>
            <w:r w:rsidRPr="00CF6588">
              <w:rPr>
                <w:rFonts w:cstheme="minorHAnsi"/>
              </w:rPr>
              <w:t>237.6</w:t>
            </w:r>
            <w:r>
              <w:rPr>
                <w:rFonts w:cstheme="minorHAnsi"/>
              </w:rPr>
              <w:t>0</w:t>
            </w:r>
          </w:p>
        </w:tc>
      </w:tr>
      <w:tr w:rsidR="009C6758" w:rsidRPr="00253377" w:rsidTr="00492DC7">
        <w:trPr>
          <w:trHeight w:val="670"/>
          <w:jc w:val="center"/>
        </w:trPr>
        <w:tc>
          <w:tcPr>
            <w:tcW w:w="529" w:type="dxa"/>
          </w:tcPr>
          <w:p w:rsidR="009C6758" w:rsidRPr="00253377" w:rsidRDefault="009C6758">
            <w:pPr>
              <w:pStyle w:val="ListParagraph"/>
              <w:numPr>
                <w:ilvl w:val="0"/>
                <w:numId w:val="16"/>
              </w:numPr>
              <w:rPr>
                <w:rFonts w:cstheme="minorHAnsi"/>
              </w:rPr>
            </w:pPr>
          </w:p>
        </w:tc>
        <w:tc>
          <w:tcPr>
            <w:tcW w:w="2989" w:type="dxa"/>
          </w:tcPr>
          <w:p w:rsidR="009C6758" w:rsidRPr="00253377" w:rsidRDefault="009C6758" w:rsidP="009C6758">
            <w:pPr>
              <w:jc w:val="both"/>
              <w:rPr>
                <w:rFonts w:cstheme="minorHAnsi"/>
              </w:rPr>
            </w:pPr>
            <w:r>
              <w:rPr>
                <w:rFonts w:cstheme="minorHAnsi"/>
              </w:rPr>
              <w:t>Operational Charges for Regional Drug Warehouse at Bathinda, Kharar (SAS Nagar), Verka (Amritsar)</w:t>
            </w:r>
          </w:p>
        </w:tc>
        <w:tc>
          <w:tcPr>
            <w:tcW w:w="5387" w:type="dxa"/>
            <w:vAlign w:val="center"/>
          </w:tcPr>
          <w:p w:rsidR="009C6758" w:rsidRDefault="009C6758">
            <w:pPr>
              <w:pStyle w:val="ListParagraph"/>
              <w:numPr>
                <w:ilvl w:val="0"/>
                <w:numId w:val="4"/>
              </w:numPr>
              <w:jc w:val="both"/>
              <w:rPr>
                <w:rFonts w:cstheme="minorHAnsi"/>
              </w:rPr>
            </w:pPr>
            <w:r>
              <w:rPr>
                <w:rFonts w:cstheme="minorHAnsi"/>
              </w:rPr>
              <w:t>This includes – Generator Running and maintenance, printing &amp; stationary, Internet Charges, electricity bill and other contingencies charges.</w:t>
            </w:r>
          </w:p>
          <w:p w:rsidR="009C6758" w:rsidRDefault="009C6758">
            <w:pPr>
              <w:pStyle w:val="ListParagraph"/>
              <w:numPr>
                <w:ilvl w:val="0"/>
                <w:numId w:val="4"/>
              </w:numPr>
            </w:pPr>
            <w:r>
              <w:t xml:space="preserve">Annual maintenance work at 03 regional drug warehouse in Bathinda, Kharar and Verka - </w:t>
            </w:r>
            <w:r w:rsidRPr="00C80014">
              <w:t>The rate @Rs 4.65 per sqft. per year.</w:t>
            </w:r>
            <w:r>
              <w:t xml:space="preserve"> Total approximate area for all regional drug warehouses is 48,000 sq ft.</w:t>
            </w:r>
          </w:p>
          <w:p w:rsidR="009C6758" w:rsidRDefault="009C6758">
            <w:pPr>
              <w:pStyle w:val="ListParagraph"/>
              <w:numPr>
                <w:ilvl w:val="0"/>
                <w:numId w:val="4"/>
              </w:numPr>
            </w:pPr>
            <w:r>
              <w:t>AMC for cold storage at 03 regional warehouses in Bathinda, Kharar and Verka - Cost of the walk-in-cooler present at 03 regional warehouses is approximate 5 lakhs, AMC amount is considered as 5% of the total cost of the equipment.</w:t>
            </w:r>
          </w:p>
          <w:p w:rsidR="009C6758" w:rsidRDefault="009C6758">
            <w:pPr>
              <w:pStyle w:val="ListParagraph"/>
              <w:numPr>
                <w:ilvl w:val="0"/>
                <w:numId w:val="4"/>
              </w:numPr>
            </w:pPr>
            <w:r>
              <w:t>Insurance for 03 regional drug warehouse in Bathinda, Kharar and Verka - Approximate cost of premium for inventory worth ~20 crore is @Rs 4 Lakh per warehouse per annum for S</w:t>
            </w:r>
            <w:r w:rsidRPr="00A569D2">
              <w:t xml:space="preserve">tandard Fire and Special perils </w:t>
            </w:r>
            <w:r>
              <w:t xml:space="preserve">Insurance </w:t>
            </w:r>
            <w:r w:rsidRPr="00A569D2">
              <w:t>Policy</w:t>
            </w:r>
            <w:r>
              <w:t>.</w:t>
            </w:r>
          </w:p>
          <w:p w:rsidR="009C6758" w:rsidRDefault="009C6758">
            <w:pPr>
              <w:pStyle w:val="ListParagraph"/>
              <w:numPr>
                <w:ilvl w:val="0"/>
                <w:numId w:val="4"/>
              </w:numPr>
            </w:pPr>
            <w:r>
              <w:t>Salaries for Human Resource at regional drug warehouse Bathinda, Kharar and Verka.</w:t>
            </w:r>
          </w:p>
          <w:p w:rsidR="009C6758" w:rsidRDefault="009C6758" w:rsidP="009C6758"/>
          <w:p w:rsidR="009C6758" w:rsidRPr="002D0903" w:rsidRDefault="009C6758" w:rsidP="009C6758">
            <w:r>
              <w:t>Refer to Annexure-A for detailed calculations.</w:t>
            </w:r>
          </w:p>
        </w:tc>
        <w:tc>
          <w:tcPr>
            <w:tcW w:w="1419" w:type="dxa"/>
          </w:tcPr>
          <w:p w:rsidR="009C6758" w:rsidRPr="00CF6588" w:rsidRDefault="009C6758" w:rsidP="009C6758">
            <w:pPr>
              <w:jc w:val="center"/>
              <w:rPr>
                <w:rFonts w:cstheme="minorHAnsi"/>
              </w:rPr>
            </w:pPr>
            <w:r>
              <w:rPr>
                <w:rFonts w:cstheme="minorHAnsi"/>
              </w:rPr>
              <w:t>32.71</w:t>
            </w:r>
          </w:p>
        </w:tc>
      </w:tr>
      <w:tr w:rsidR="00D329B9" w:rsidRPr="00253377" w:rsidTr="00492DC7">
        <w:trPr>
          <w:trHeight w:val="670"/>
          <w:jc w:val="center"/>
        </w:trPr>
        <w:tc>
          <w:tcPr>
            <w:tcW w:w="529" w:type="dxa"/>
          </w:tcPr>
          <w:p w:rsidR="00D329B9" w:rsidRPr="00D329B9" w:rsidRDefault="00D329B9">
            <w:pPr>
              <w:pStyle w:val="ListParagraph"/>
              <w:numPr>
                <w:ilvl w:val="0"/>
                <w:numId w:val="16"/>
              </w:numPr>
              <w:rPr>
                <w:rFonts w:cstheme="minorHAnsi"/>
              </w:rPr>
            </w:pPr>
          </w:p>
        </w:tc>
        <w:tc>
          <w:tcPr>
            <w:tcW w:w="2989" w:type="dxa"/>
          </w:tcPr>
          <w:p w:rsidR="00D329B9" w:rsidRDefault="00D329B9" w:rsidP="00D329B9">
            <w:pPr>
              <w:jc w:val="both"/>
            </w:pPr>
            <w:r>
              <w:t>Prescription Audits at Selected Health Facilities</w:t>
            </w:r>
          </w:p>
        </w:tc>
        <w:tc>
          <w:tcPr>
            <w:tcW w:w="5387" w:type="dxa"/>
          </w:tcPr>
          <w:p w:rsidR="00D329B9" w:rsidRDefault="00D329B9">
            <w:pPr>
              <w:pStyle w:val="ListParagraph"/>
              <w:numPr>
                <w:ilvl w:val="0"/>
                <w:numId w:val="4"/>
              </w:numPr>
              <w:jc w:val="both"/>
              <w:rPr>
                <w:rFonts w:cstheme="minorHAnsi"/>
              </w:rPr>
            </w:pPr>
            <w:r>
              <w:rPr>
                <w:rFonts w:cstheme="minorHAnsi"/>
              </w:rPr>
              <w:t>Includes cost for Data Collection, cleaning, and management.</w:t>
            </w:r>
          </w:p>
          <w:p w:rsidR="00D329B9" w:rsidRDefault="00D329B9">
            <w:pPr>
              <w:pStyle w:val="ListParagraph"/>
              <w:numPr>
                <w:ilvl w:val="0"/>
                <w:numId w:val="4"/>
              </w:numPr>
              <w:jc w:val="both"/>
              <w:rPr>
                <w:rFonts w:cstheme="minorHAnsi"/>
              </w:rPr>
            </w:pPr>
            <w:r>
              <w:rPr>
                <w:rFonts w:cstheme="minorHAnsi"/>
              </w:rPr>
              <w:t>Cost of post-audit implementation of recommendation.</w:t>
            </w:r>
          </w:p>
          <w:p w:rsidR="00D329B9" w:rsidRDefault="00D329B9">
            <w:pPr>
              <w:pStyle w:val="ListParagraph"/>
              <w:numPr>
                <w:ilvl w:val="0"/>
                <w:numId w:val="4"/>
              </w:numPr>
              <w:jc w:val="both"/>
              <w:rPr>
                <w:rFonts w:cstheme="minorHAnsi"/>
              </w:rPr>
            </w:pPr>
            <w:r>
              <w:rPr>
                <w:rFonts w:cstheme="minorHAnsi"/>
              </w:rPr>
              <w:t>Correlating Anti-microbial susceptibility test data (AST) with the data obtained by prescription audits.</w:t>
            </w:r>
          </w:p>
          <w:p w:rsidR="00D329B9" w:rsidRDefault="00D329B9">
            <w:pPr>
              <w:pStyle w:val="ListParagraph"/>
              <w:numPr>
                <w:ilvl w:val="0"/>
                <w:numId w:val="4"/>
              </w:numPr>
              <w:jc w:val="both"/>
              <w:rPr>
                <w:rFonts w:cstheme="minorHAnsi"/>
              </w:rPr>
            </w:pPr>
            <w:r>
              <w:rPr>
                <w:rFonts w:cstheme="minorHAnsi"/>
              </w:rPr>
              <w:t>Improve the prescription behaviour at health facilities across the state.</w:t>
            </w:r>
          </w:p>
          <w:p w:rsidR="00D329B9" w:rsidRDefault="00D329B9">
            <w:pPr>
              <w:pStyle w:val="ListParagraph"/>
              <w:numPr>
                <w:ilvl w:val="0"/>
                <w:numId w:val="4"/>
              </w:numPr>
              <w:jc w:val="both"/>
              <w:rPr>
                <w:rFonts w:cstheme="minorHAnsi"/>
              </w:rPr>
            </w:pPr>
            <w:r>
              <w:rPr>
                <w:rFonts w:cstheme="minorHAnsi"/>
              </w:rPr>
              <w:t>For the purpose of the Audit, 01 Medical College, 10 District Hospital, 10 Sub-District Hospitals, 05 CHCs and 05 PHCs and 05 HWCs would be considered. Sample size to be selected based on OPD numbers. Preferably facilities with high HMIS uptake.</w:t>
            </w:r>
          </w:p>
          <w:p w:rsidR="00D329B9" w:rsidRDefault="00D329B9">
            <w:pPr>
              <w:pStyle w:val="ListParagraph"/>
              <w:numPr>
                <w:ilvl w:val="0"/>
                <w:numId w:val="4"/>
              </w:numPr>
              <w:jc w:val="both"/>
              <w:rPr>
                <w:rFonts w:cstheme="minorHAnsi"/>
              </w:rPr>
            </w:pPr>
            <w:r>
              <w:rPr>
                <w:rFonts w:cstheme="minorHAnsi"/>
              </w:rPr>
              <w:t>Details as per Annexure-A</w:t>
            </w:r>
          </w:p>
        </w:tc>
        <w:tc>
          <w:tcPr>
            <w:tcW w:w="1419" w:type="dxa"/>
          </w:tcPr>
          <w:p w:rsidR="00D329B9" w:rsidRDefault="00D329B9" w:rsidP="00D329B9">
            <w:pPr>
              <w:jc w:val="center"/>
              <w:rPr>
                <w:rFonts w:cstheme="minorHAnsi"/>
              </w:rPr>
            </w:pPr>
            <w:r>
              <w:rPr>
                <w:rFonts w:cstheme="minorHAnsi"/>
              </w:rPr>
              <w:t>21.03</w:t>
            </w:r>
          </w:p>
        </w:tc>
      </w:tr>
      <w:tr w:rsidR="009C6758" w:rsidRPr="00253377" w:rsidTr="00492DC7">
        <w:trPr>
          <w:trHeight w:val="349"/>
          <w:jc w:val="center"/>
        </w:trPr>
        <w:tc>
          <w:tcPr>
            <w:tcW w:w="529" w:type="dxa"/>
          </w:tcPr>
          <w:p w:rsidR="009C6758" w:rsidRPr="00253377" w:rsidRDefault="009C6758" w:rsidP="009C6758">
            <w:pPr>
              <w:pStyle w:val="ListParagraph"/>
              <w:ind w:left="360"/>
              <w:rPr>
                <w:rFonts w:cstheme="minorHAnsi"/>
              </w:rPr>
            </w:pPr>
          </w:p>
        </w:tc>
        <w:tc>
          <w:tcPr>
            <w:tcW w:w="2989" w:type="dxa"/>
          </w:tcPr>
          <w:p w:rsidR="009C6758" w:rsidRPr="00253377" w:rsidRDefault="009C6758" w:rsidP="009C6758">
            <w:pPr>
              <w:rPr>
                <w:rFonts w:cstheme="minorHAnsi"/>
                <w:b/>
              </w:rPr>
            </w:pPr>
          </w:p>
        </w:tc>
        <w:tc>
          <w:tcPr>
            <w:tcW w:w="5387" w:type="dxa"/>
          </w:tcPr>
          <w:p w:rsidR="009C6758" w:rsidRPr="00253377" w:rsidRDefault="009C6758" w:rsidP="009C6758">
            <w:pPr>
              <w:jc w:val="center"/>
              <w:rPr>
                <w:rFonts w:cstheme="minorHAnsi"/>
                <w:b/>
              </w:rPr>
            </w:pPr>
            <w:r w:rsidRPr="00253377">
              <w:rPr>
                <w:rFonts w:cstheme="minorHAnsi"/>
                <w:b/>
              </w:rPr>
              <w:t>Total (Rs. In Lac)</w:t>
            </w:r>
          </w:p>
        </w:tc>
        <w:tc>
          <w:tcPr>
            <w:tcW w:w="1419" w:type="dxa"/>
          </w:tcPr>
          <w:p w:rsidR="009C6758" w:rsidRPr="00253377" w:rsidRDefault="00285AB9" w:rsidP="009C6758">
            <w:pPr>
              <w:jc w:val="center"/>
              <w:rPr>
                <w:rFonts w:cstheme="minorHAnsi"/>
                <w:b/>
              </w:rPr>
            </w:pPr>
            <w:r>
              <w:rPr>
                <w:rFonts w:cstheme="minorHAnsi"/>
                <w:b/>
              </w:rPr>
              <w:t>291.34</w:t>
            </w:r>
          </w:p>
        </w:tc>
      </w:tr>
    </w:tbl>
    <w:p w:rsidR="001E73C0" w:rsidRDefault="001E73C0" w:rsidP="00645CF3">
      <w:pPr>
        <w:rPr>
          <w:b/>
          <w:bCs/>
          <w:u w:val="single"/>
        </w:rPr>
      </w:pPr>
    </w:p>
    <w:p w:rsidR="00285AB9" w:rsidRDefault="00285AB9" w:rsidP="00645CF3">
      <w:pPr>
        <w:rPr>
          <w:b/>
          <w:bCs/>
          <w:u w:val="single"/>
        </w:rPr>
      </w:pPr>
    </w:p>
    <w:p w:rsidR="00645CF3" w:rsidRPr="00645CF3" w:rsidRDefault="00AE1094" w:rsidP="00645CF3">
      <w:pPr>
        <w:rPr>
          <w:b/>
          <w:bCs/>
          <w:u w:val="single"/>
        </w:rPr>
      </w:pPr>
      <w:r w:rsidRPr="00F57997">
        <w:rPr>
          <w:b/>
          <w:bCs/>
          <w:u w:val="single"/>
        </w:rPr>
        <w:lastRenderedPageBreak/>
        <w:t>Annexure</w:t>
      </w:r>
      <w:r w:rsidR="00F7595A">
        <w:rPr>
          <w:b/>
          <w:bCs/>
          <w:u w:val="single"/>
        </w:rPr>
        <w:t>-A</w:t>
      </w:r>
      <w:r w:rsidRPr="00F57997">
        <w:rPr>
          <w:b/>
          <w:bCs/>
          <w:u w:val="single"/>
        </w:rPr>
        <w:t>: Detailed Calculation</w:t>
      </w:r>
    </w:p>
    <w:p w:rsidR="00645CF3" w:rsidRDefault="00645CF3">
      <w:pPr>
        <w:pStyle w:val="ListParagraph"/>
        <w:numPr>
          <w:ilvl w:val="0"/>
          <w:numId w:val="2"/>
        </w:numPr>
        <w:spacing w:after="0"/>
        <w:rPr>
          <w:rFonts w:cstheme="minorHAnsi"/>
          <w:sz w:val="20"/>
          <w:szCs w:val="20"/>
        </w:rPr>
      </w:pPr>
      <w:r>
        <w:rPr>
          <w:rFonts w:cstheme="minorHAnsi"/>
          <w:sz w:val="20"/>
          <w:szCs w:val="20"/>
        </w:rPr>
        <w:t>Operational Expenses at 03 Regional Drug Warehouses per annum –</w:t>
      </w:r>
    </w:p>
    <w:tbl>
      <w:tblPr>
        <w:tblW w:w="3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6192"/>
        <w:gridCol w:w="1373"/>
      </w:tblGrid>
      <w:tr w:rsidR="00645CF3" w:rsidRPr="004C442D" w:rsidTr="00990398">
        <w:trPr>
          <w:jc w:val="center"/>
        </w:trPr>
        <w:tc>
          <w:tcPr>
            <w:tcW w:w="387" w:type="pct"/>
            <w:tcMar>
              <w:top w:w="0" w:type="dxa"/>
              <w:left w:w="108" w:type="dxa"/>
              <w:bottom w:w="0" w:type="dxa"/>
              <w:right w:w="108" w:type="dxa"/>
            </w:tcMar>
            <w:vAlign w:val="center"/>
            <w:hideMark/>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sidRPr="00484863">
              <w:rPr>
                <w:rFonts w:asciiTheme="minorHAnsi" w:hAnsiTheme="minorHAnsi" w:cstheme="minorHAnsi"/>
                <w:b/>
                <w:bCs/>
                <w:color w:val="000000"/>
                <w:sz w:val="20"/>
                <w:szCs w:val="20"/>
                <w:lang w:val="en-IN"/>
              </w:rPr>
              <w:t>Sr. No.</w:t>
            </w:r>
          </w:p>
        </w:tc>
        <w:tc>
          <w:tcPr>
            <w:tcW w:w="3775" w:type="pct"/>
            <w:tcMar>
              <w:top w:w="0" w:type="dxa"/>
              <w:left w:w="108" w:type="dxa"/>
              <w:bottom w:w="0" w:type="dxa"/>
              <w:right w:w="108" w:type="dxa"/>
            </w:tcMar>
            <w:vAlign w:val="center"/>
            <w:hideMark/>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b/>
                <w:bCs/>
                <w:color w:val="000000"/>
                <w:sz w:val="20"/>
                <w:szCs w:val="20"/>
                <w:lang w:val="en-IN"/>
              </w:rPr>
              <w:t>Particular</w:t>
            </w:r>
          </w:p>
        </w:tc>
        <w:tc>
          <w:tcPr>
            <w:tcW w:w="837" w:type="pct"/>
            <w:tcMar>
              <w:top w:w="0" w:type="dxa"/>
              <w:left w:w="108" w:type="dxa"/>
              <w:bottom w:w="0" w:type="dxa"/>
              <w:right w:w="108" w:type="dxa"/>
            </w:tcMar>
            <w:vAlign w:val="center"/>
            <w:hideMark/>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b/>
                <w:bCs/>
                <w:color w:val="000000"/>
                <w:sz w:val="20"/>
                <w:szCs w:val="20"/>
                <w:lang w:val="en-IN"/>
              </w:rPr>
              <w:t>Total cost in Lakhs</w:t>
            </w:r>
          </w:p>
        </w:tc>
      </w:tr>
      <w:tr w:rsidR="00645CF3" w:rsidRPr="004C442D" w:rsidTr="00990398">
        <w:trPr>
          <w:jc w:val="center"/>
        </w:trPr>
        <w:tc>
          <w:tcPr>
            <w:tcW w:w="387" w:type="pct"/>
            <w:tcMar>
              <w:top w:w="0" w:type="dxa"/>
              <w:left w:w="108" w:type="dxa"/>
              <w:bottom w:w="0" w:type="dxa"/>
              <w:right w:w="108" w:type="dxa"/>
            </w:tcMar>
            <w:vAlign w:val="center"/>
          </w:tcPr>
          <w:p w:rsidR="00645CF3" w:rsidRPr="00484863" w:rsidRDefault="00645CF3">
            <w:pPr>
              <w:pStyle w:val="NormalWeb"/>
              <w:numPr>
                <w:ilvl w:val="0"/>
                <w:numId w:val="7"/>
              </w:numPr>
              <w:spacing w:before="0" w:beforeAutospacing="0" w:after="0" w:afterAutospacing="0"/>
              <w:jc w:val="center"/>
              <w:rPr>
                <w:rFonts w:asciiTheme="minorHAnsi" w:hAnsiTheme="minorHAnsi" w:cstheme="minorHAnsi"/>
                <w:color w:val="000000"/>
                <w:sz w:val="20"/>
                <w:szCs w:val="20"/>
              </w:rPr>
            </w:pPr>
          </w:p>
        </w:tc>
        <w:tc>
          <w:tcPr>
            <w:tcW w:w="3775" w:type="pct"/>
            <w:tcMar>
              <w:top w:w="0" w:type="dxa"/>
              <w:left w:w="108" w:type="dxa"/>
              <w:bottom w:w="0" w:type="dxa"/>
              <w:right w:w="108" w:type="dxa"/>
            </w:tcMar>
            <w:vAlign w:val="center"/>
          </w:tcPr>
          <w:p w:rsidR="00645CF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Generator Running &amp; Maintenance</w:t>
            </w:r>
          </w:p>
        </w:tc>
        <w:tc>
          <w:tcPr>
            <w:tcW w:w="837" w:type="pct"/>
            <w:tcMar>
              <w:top w:w="0" w:type="dxa"/>
              <w:left w:w="108" w:type="dxa"/>
              <w:bottom w:w="0" w:type="dxa"/>
              <w:right w:w="108" w:type="dxa"/>
            </w:tcMar>
            <w:vAlign w:val="bottom"/>
          </w:tcPr>
          <w:p w:rsidR="00645CF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2"/>
                <w:szCs w:val="22"/>
              </w:rPr>
              <w:t>1</w:t>
            </w:r>
            <w:r w:rsidR="00990398">
              <w:rPr>
                <w:rFonts w:ascii="Calibri" w:hAnsi="Calibri" w:cs="Calibri"/>
                <w:color w:val="000000"/>
                <w:sz w:val="22"/>
                <w:szCs w:val="22"/>
              </w:rPr>
              <w:t>.</w:t>
            </w:r>
            <w:r>
              <w:rPr>
                <w:rFonts w:ascii="Calibri" w:hAnsi="Calibri" w:cs="Calibri"/>
                <w:color w:val="000000"/>
                <w:sz w:val="22"/>
                <w:szCs w:val="22"/>
              </w:rPr>
              <w:t>92</w:t>
            </w:r>
          </w:p>
        </w:tc>
      </w:tr>
      <w:tr w:rsidR="00645CF3" w:rsidRPr="004C442D" w:rsidTr="00990398">
        <w:trPr>
          <w:jc w:val="center"/>
        </w:trPr>
        <w:tc>
          <w:tcPr>
            <w:tcW w:w="387" w:type="pct"/>
            <w:tcMar>
              <w:top w:w="0" w:type="dxa"/>
              <w:left w:w="108" w:type="dxa"/>
              <w:bottom w:w="0" w:type="dxa"/>
              <w:right w:w="108" w:type="dxa"/>
            </w:tcMar>
            <w:vAlign w:val="center"/>
          </w:tcPr>
          <w:p w:rsidR="00645CF3" w:rsidRPr="00484863" w:rsidRDefault="00645CF3">
            <w:pPr>
              <w:pStyle w:val="NormalWeb"/>
              <w:numPr>
                <w:ilvl w:val="0"/>
                <w:numId w:val="7"/>
              </w:numPr>
              <w:spacing w:before="0" w:beforeAutospacing="0" w:after="0" w:afterAutospacing="0"/>
              <w:jc w:val="center"/>
              <w:rPr>
                <w:rFonts w:asciiTheme="minorHAnsi" w:hAnsiTheme="minorHAnsi" w:cstheme="minorHAnsi"/>
                <w:color w:val="000000"/>
                <w:sz w:val="20"/>
                <w:szCs w:val="20"/>
              </w:rPr>
            </w:pPr>
          </w:p>
        </w:tc>
        <w:tc>
          <w:tcPr>
            <w:tcW w:w="3775"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 xml:space="preserve">Printing and Stationary </w:t>
            </w:r>
          </w:p>
        </w:tc>
        <w:tc>
          <w:tcPr>
            <w:tcW w:w="837" w:type="pct"/>
            <w:tcMar>
              <w:top w:w="0" w:type="dxa"/>
              <w:left w:w="108" w:type="dxa"/>
              <w:bottom w:w="0" w:type="dxa"/>
              <w:right w:w="108" w:type="dxa"/>
            </w:tcMar>
            <w:vAlign w:val="bottom"/>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2"/>
                <w:szCs w:val="22"/>
              </w:rPr>
              <w:t>2</w:t>
            </w:r>
            <w:r w:rsidR="00990398">
              <w:rPr>
                <w:rFonts w:ascii="Calibri" w:hAnsi="Calibri" w:cs="Calibri"/>
                <w:color w:val="000000"/>
                <w:sz w:val="22"/>
                <w:szCs w:val="22"/>
              </w:rPr>
              <w:t>.</w:t>
            </w:r>
            <w:r>
              <w:rPr>
                <w:rFonts w:ascii="Calibri" w:hAnsi="Calibri" w:cs="Calibri"/>
                <w:color w:val="000000"/>
                <w:sz w:val="22"/>
                <w:szCs w:val="22"/>
              </w:rPr>
              <w:t>04</w:t>
            </w:r>
          </w:p>
        </w:tc>
      </w:tr>
      <w:tr w:rsidR="00645CF3" w:rsidRPr="004C442D" w:rsidTr="00990398">
        <w:trPr>
          <w:jc w:val="center"/>
        </w:trPr>
        <w:tc>
          <w:tcPr>
            <w:tcW w:w="387" w:type="pct"/>
            <w:tcMar>
              <w:top w:w="0" w:type="dxa"/>
              <w:left w:w="108" w:type="dxa"/>
              <w:bottom w:w="0" w:type="dxa"/>
              <w:right w:w="108" w:type="dxa"/>
            </w:tcMar>
            <w:vAlign w:val="center"/>
          </w:tcPr>
          <w:p w:rsidR="00645CF3" w:rsidRPr="00484863" w:rsidRDefault="00645CF3">
            <w:pPr>
              <w:pStyle w:val="NormalWeb"/>
              <w:numPr>
                <w:ilvl w:val="0"/>
                <w:numId w:val="7"/>
              </w:numPr>
              <w:spacing w:before="0" w:beforeAutospacing="0" w:after="0" w:afterAutospacing="0"/>
              <w:jc w:val="center"/>
              <w:rPr>
                <w:rFonts w:asciiTheme="minorHAnsi" w:hAnsiTheme="minorHAnsi" w:cstheme="minorHAnsi"/>
                <w:color w:val="000000"/>
                <w:sz w:val="20"/>
                <w:szCs w:val="20"/>
              </w:rPr>
            </w:pPr>
          </w:p>
        </w:tc>
        <w:tc>
          <w:tcPr>
            <w:tcW w:w="3775"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Internet Charges</w:t>
            </w:r>
          </w:p>
        </w:tc>
        <w:tc>
          <w:tcPr>
            <w:tcW w:w="837" w:type="pct"/>
            <w:tcMar>
              <w:top w:w="0" w:type="dxa"/>
              <w:left w:w="108" w:type="dxa"/>
              <w:bottom w:w="0" w:type="dxa"/>
              <w:right w:w="108" w:type="dxa"/>
            </w:tcMar>
            <w:vAlign w:val="bottom"/>
          </w:tcPr>
          <w:p w:rsidR="00645CF3" w:rsidRPr="00484863" w:rsidRDefault="00990398"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2"/>
                <w:szCs w:val="22"/>
              </w:rPr>
              <w:t>0.</w:t>
            </w:r>
            <w:r w:rsidR="00645CF3">
              <w:rPr>
                <w:rFonts w:ascii="Calibri" w:hAnsi="Calibri" w:cs="Calibri"/>
                <w:color w:val="000000"/>
                <w:sz w:val="22"/>
                <w:szCs w:val="22"/>
              </w:rPr>
              <w:t>62</w:t>
            </w:r>
          </w:p>
        </w:tc>
      </w:tr>
      <w:tr w:rsidR="00357FA7" w:rsidRPr="004C442D" w:rsidTr="00990398">
        <w:trPr>
          <w:jc w:val="center"/>
        </w:trPr>
        <w:tc>
          <w:tcPr>
            <w:tcW w:w="387" w:type="pct"/>
            <w:tcMar>
              <w:top w:w="0" w:type="dxa"/>
              <w:left w:w="108" w:type="dxa"/>
              <w:bottom w:w="0" w:type="dxa"/>
              <w:right w:w="108" w:type="dxa"/>
            </w:tcMar>
            <w:vAlign w:val="center"/>
          </w:tcPr>
          <w:p w:rsidR="00357FA7" w:rsidRPr="00484863" w:rsidRDefault="00357FA7">
            <w:pPr>
              <w:pStyle w:val="NormalWeb"/>
              <w:numPr>
                <w:ilvl w:val="0"/>
                <w:numId w:val="7"/>
              </w:numPr>
              <w:spacing w:before="0" w:beforeAutospacing="0" w:after="0" w:afterAutospacing="0"/>
              <w:rPr>
                <w:rFonts w:asciiTheme="minorHAnsi" w:hAnsiTheme="minorHAnsi" w:cstheme="minorHAnsi"/>
                <w:color w:val="000000"/>
                <w:sz w:val="20"/>
                <w:szCs w:val="20"/>
              </w:rPr>
            </w:pPr>
          </w:p>
        </w:tc>
        <w:tc>
          <w:tcPr>
            <w:tcW w:w="3775" w:type="pct"/>
            <w:tcMar>
              <w:top w:w="0" w:type="dxa"/>
              <w:left w:w="108" w:type="dxa"/>
              <w:bottom w:w="0" w:type="dxa"/>
              <w:right w:w="108" w:type="dxa"/>
            </w:tcMar>
            <w:vAlign w:val="center"/>
          </w:tcPr>
          <w:p w:rsidR="00357FA7" w:rsidRDefault="00357FA7" w:rsidP="00D914B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 xml:space="preserve">Other contingencies, repair &amp; maintenance of lift minor equipment </w:t>
            </w:r>
            <w:r w:rsidR="00264316">
              <w:rPr>
                <w:rFonts w:asciiTheme="minorHAnsi" w:hAnsiTheme="minorHAnsi" w:cstheme="minorHAnsi"/>
                <w:color w:val="000000"/>
                <w:sz w:val="20"/>
                <w:szCs w:val="20"/>
              </w:rPr>
              <w:t>etc.</w:t>
            </w:r>
          </w:p>
        </w:tc>
        <w:tc>
          <w:tcPr>
            <w:tcW w:w="837" w:type="pct"/>
            <w:tcMar>
              <w:top w:w="0" w:type="dxa"/>
              <w:left w:w="108" w:type="dxa"/>
              <w:bottom w:w="0" w:type="dxa"/>
              <w:right w:w="108" w:type="dxa"/>
            </w:tcMar>
            <w:vAlign w:val="bottom"/>
          </w:tcPr>
          <w:p w:rsidR="00357FA7" w:rsidRDefault="00357FA7" w:rsidP="00D914B0">
            <w:pPr>
              <w:pStyle w:val="Norm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1.98</w:t>
            </w:r>
          </w:p>
        </w:tc>
      </w:tr>
      <w:tr w:rsidR="00645CF3" w:rsidRPr="004C442D" w:rsidTr="00990398">
        <w:trPr>
          <w:jc w:val="center"/>
        </w:trPr>
        <w:tc>
          <w:tcPr>
            <w:tcW w:w="387" w:type="pct"/>
            <w:tcMar>
              <w:top w:w="0" w:type="dxa"/>
              <w:left w:w="108" w:type="dxa"/>
              <w:bottom w:w="0" w:type="dxa"/>
              <w:right w:w="108" w:type="dxa"/>
            </w:tcMar>
            <w:vAlign w:val="center"/>
          </w:tcPr>
          <w:p w:rsidR="00645CF3" w:rsidRPr="00484863" w:rsidRDefault="00645CF3">
            <w:pPr>
              <w:pStyle w:val="NormalWeb"/>
              <w:numPr>
                <w:ilvl w:val="0"/>
                <w:numId w:val="7"/>
              </w:numPr>
              <w:spacing w:before="0" w:beforeAutospacing="0" w:after="0" w:afterAutospacing="0"/>
              <w:jc w:val="center"/>
              <w:rPr>
                <w:rFonts w:asciiTheme="minorHAnsi" w:hAnsiTheme="minorHAnsi" w:cstheme="minorHAnsi"/>
                <w:color w:val="000000"/>
                <w:sz w:val="20"/>
                <w:szCs w:val="20"/>
              </w:rPr>
            </w:pPr>
          </w:p>
        </w:tc>
        <w:tc>
          <w:tcPr>
            <w:tcW w:w="3775" w:type="pct"/>
            <w:tcMar>
              <w:top w:w="0" w:type="dxa"/>
              <w:left w:w="108" w:type="dxa"/>
              <w:bottom w:w="0" w:type="dxa"/>
              <w:right w:w="108" w:type="dxa"/>
            </w:tcMar>
            <w:vAlign w:val="center"/>
          </w:tcPr>
          <w:p w:rsidR="00645CF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Electricity bill</w:t>
            </w:r>
          </w:p>
        </w:tc>
        <w:tc>
          <w:tcPr>
            <w:tcW w:w="837" w:type="pct"/>
            <w:tcMar>
              <w:top w:w="0" w:type="dxa"/>
              <w:left w:w="108" w:type="dxa"/>
              <w:bottom w:w="0" w:type="dxa"/>
              <w:right w:w="108" w:type="dxa"/>
            </w:tcMar>
            <w:vAlign w:val="bottom"/>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2"/>
                <w:szCs w:val="22"/>
              </w:rPr>
              <w:t>11</w:t>
            </w:r>
            <w:r w:rsidR="00990398">
              <w:rPr>
                <w:rFonts w:ascii="Calibri" w:hAnsi="Calibri" w:cs="Calibri"/>
                <w:color w:val="000000"/>
                <w:sz w:val="22"/>
                <w:szCs w:val="22"/>
              </w:rPr>
              <w:t>.</w:t>
            </w:r>
            <w:r>
              <w:rPr>
                <w:rFonts w:ascii="Calibri" w:hAnsi="Calibri" w:cs="Calibri"/>
                <w:color w:val="000000"/>
                <w:sz w:val="22"/>
                <w:szCs w:val="22"/>
              </w:rPr>
              <w:t>16</w:t>
            </w:r>
          </w:p>
        </w:tc>
      </w:tr>
      <w:tr w:rsidR="00645CF3" w:rsidRPr="004C442D" w:rsidTr="00990398">
        <w:trPr>
          <w:jc w:val="center"/>
        </w:trPr>
        <w:tc>
          <w:tcPr>
            <w:tcW w:w="387" w:type="pct"/>
            <w:tcMar>
              <w:top w:w="0" w:type="dxa"/>
              <w:left w:w="108" w:type="dxa"/>
              <w:bottom w:w="0" w:type="dxa"/>
              <w:right w:w="108" w:type="dxa"/>
            </w:tcMar>
            <w:vAlign w:val="center"/>
          </w:tcPr>
          <w:p w:rsidR="00645CF3" w:rsidRPr="00484863" w:rsidRDefault="00645CF3">
            <w:pPr>
              <w:pStyle w:val="NormalWeb"/>
              <w:numPr>
                <w:ilvl w:val="0"/>
                <w:numId w:val="7"/>
              </w:numPr>
              <w:spacing w:before="0" w:beforeAutospacing="0" w:after="0" w:afterAutospacing="0"/>
              <w:jc w:val="center"/>
              <w:rPr>
                <w:rFonts w:asciiTheme="minorHAnsi" w:hAnsiTheme="minorHAnsi" w:cstheme="minorHAnsi"/>
                <w:color w:val="000000"/>
                <w:sz w:val="20"/>
                <w:szCs w:val="20"/>
              </w:rPr>
            </w:pPr>
          </w:p>
        </w:tc>
        <w:tc>
          <w:tcPr>
            <w:tcW w:w="3775" w:type="pct"/>
            <w:tcMar>
              <w:top w:w="0" w:type="dxa"/>
              <w:left w:w="108" w:type="dxa"/>
              <w:bottom w:w="0" w:type="dxa"/>
              <w:right w:w="108" w:type="dxa"/>
            </w:tcMar>
            <w:vAlign w:val="center"/>
          </w:tcPr>
          <w:p w:rsidR="00645CF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 xml:space="preserve">Annual Maintenance work (@4.65 per sq ft for 48,000 sq ft) </w:t>
            </w:r>
          </w:p>
        </w:tc>
        <w:tc>
          <w:tcPr>
            <w:tcW w:w="837" w:type="pct"/>
            <w:tcMar>
              <w:top w:w="0" w:type="dxa"/>
              <w:left w:w="108" w:type="dxa"/>
              <w:bottom w:w="0" w:type="dxa"/>
              <w:right w:w="108" w:type="dxa"/>
            </w:tcMar>
            <w:vAlign w:val="bottom"/>
          </w:tcPr>
          <w:p w:rsidR="00645CF3" w:rsidRDefault="00645CF3" w:rsidP="00D914B0">
            <w:pPr>
              <w:pStyle w:val="NormalWeb"/>
              <w:spacing w:before="0" w:beforeAutospacing="0" w:after="0" w:afterAutospacing="0"/>
              <w:jc w:val="center"/>
              <w:rPr>
                <w:rFonts w:ascii="Calibri" w:hAnsi="Calibri" w:cs="Calibri"/>
                <w:color w:val="000000"/>
                <w:sz w:val="22"/>
                <w:szCs w:val="22"/>
              </w:rPr>
            </w:pPr>
            <w:r>
              <w:rPr>
                <w:rFonts w:ascii="Calibri" w:hAnsi="Calibri" w:cs="Calibri"/>
                <w:color w:val="000000"/>
                <w:sz w:val="22"/>
                <w:szCs w:val="22"/>
              </w:rPr>
              <w:t>2</w:t>
            </w:r>
            <w:r w:rsidR="00990398">
              <w:rPr>
                <w:rFonts w:ascii="Calibri" w:hAnsi="Calibri" w:cs="Calibri"/>
                <w:color w:val="000000"/>
                <w:sz w:val="22"/>
                <w:szCs w:val="22"/>
              </w:rPr>
              <w:t>.</w:t>
            </w:r>
            <w:r>
              <w:rPr>
                <w:rFonts w:ascii="Calibri" w:hAnsi="Calibri" w:cs="Calibri"/>
                <w:color w:val="000000"/>
                <w:sz w:val="22"/>
                <w:szCs w:val="22"/>
              </w:rPr>
              <w:t>23</w:t>
            </w:r>
          </w:p>
        </w:tc>
      </w:tr>
      <w:tr w:rsidR="00645CF3" w:rsidRPr="004C442D" w:rsidTr="00990398">
        <w:trPr>
          <w:jc w:val="center"/>
        </w:trPr>
        <w:tc>
          <w:tcPr>
            <w:tcW w:w="387" w:type="pct"/>
            <w:tcMar>
              <w:top w:w="0" w:type="dxa"/>
              <w:left w:w="108" w:type="dxa"/>
              <w:bottom w:w="0" w:type="dxa"/>
              <w:right w:w="108" w:type="dxa"/>
            </w:tcMar>
            <w:vAlign w:val="center"/>
          </w:tcPr>
          <w:p w:rsidR="00645CF3" w:rsidRPr="00484863" w:rsidRDefault="00645CF3">
            <w:pPr>
              <w:pStyle w:val="NormalWeb"/>
              <w:numPr>
                <w:ilvl w:val="0"/>
                <w:numId w:val="7"/>
              </w:numPr>
              <w:spacing w:before="0" w:beforeAutospacing="0" w:after="0" w:afterAutospacing="0"/>
              <w:jc w:val="center"/>
              <w:rPr>
                <w:rFonts w:asciiTheme="minorHAnsi" w:hAnsiTheme="minorHAnsi" w:cstheme="minorHAnsi"/>
                <w:color w:val="000000"/>
                <w:sz w:val="20"/>
                <w:szCs w:val="20"/>
              </w:rPr>
            </w:pPr>
          </w:p>
        </w:tc>
        <w:tc>
          <w:tcPr>
            <w:tcW w:w="3775" w:type="pct"/>
            <w:tcMar>
              <w:top w:w="0" w:type="dxa"/>
              <w:left w:w="108" w:type="dxa"/>
              <w:bottom w:w="0" w:type="dxa"/>
              <w:right w:w="108" w:type="dxa"/>
            </w:tcMar>
            <w:vAlign w:val="center"/>
          </w:tcPr>
          <w:p w:rsidR="00645CF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Budget for equipment’s at warehouse (point c)</w:t>
            </w:r>
          </w:p>
        </w:tc>
        <w:tc>
          <w:tcPr>
            <w:tcW w:w="837" w:type="pct"/>
            <w:tcMar>
              <w:top w:w="0" w:type="dxa"/>
              <w:left w:w="108" w:type="dxa"/>
              <w:bottom w:w="0" w:type="dxa"/>
              <w:right w:w="108" w:type="dxa"/>
            </w:tcMar>
            <w:vAlign w:val="bottom"/>
          </w:tcPr>
          <w:p w:rsidR="00645CF3" w:rsidRDefault="00645CF3" w:rsidP="00D914B0">
            <w:pPr>
              <w:pStyle w:val="NormalWeb"/>
              <w:spacing w:before="0" w:beforeAutospacing="0" w:after="0" w:afterAutospacing="0"/>
              <w:jc w:val="center"/>
              <w:rPr>
                <w:rFonts w:ascii="Calibri" w:hAnsi="Calibri" w:cs="Calibri"/>
                <w:color w:val="000000"/>
                <w:sz w:val="22"/>
                <w:szCs w:val="22"/>
              </w:rPr>
            </w:pPr>
            <w:r>
              <w:rPr>
                <w:rFonts w:asciiTheme="minorHAnsi" w:hAnsiTheme="minorHAnsi" w:cstheme="minorHAnsi"/>
                <w:color w:val="000000"/>
                <w:sz w:val="20"/>
                <w:szCs w:val="20"/>
              </w:rPr>
              <w:t>16</w:t>
            </w:r>
            <w:r w:rsidR="00990398">
              <w:rPr>
                <w:rFonts w:asciiTheme="minorHAnsi" w:hAnsiTheme="minorHAnsi" w:cstheme="minorHAnsi"/>
                <w:color w:val="000000"/>
                <w:sz w:val="20"/>
                <w:szCs w:val="20"/>
              </w:rPr>
              <w:t>.30</w:t>
            </w:r>
          </w:p>
        </w:tc>
      </w:tr>
      <w:tr w:rsidR="00645CF3" w:rsidRPr="004C442D" w:rsidTr="00990398">
        <w:trPr>
          <w:jc w:val="center"/>
        </w:trPr>
        <w:tc>
          <w:tcPr>
            <w:tcW w:w="387" w:type="pct"/>
            <w:tcMar>
              <w:top w:w="0" w:type="dxa"/>
              <w:left w:w="108" w:type="dxa"/>
              <w:bottom w:w="0" w:type="dxa"/>
              <w:right w:w="108" w:type="dxa"/>
            </w:tcMar>
            <w:vAlign w:val="center"/>
          </w:tcPr>
          <w:p w:rsidR="00645CF3" w:rsidRPr="00484863" w:rsidRDefault="00645CF3">
            <w:pPr>
              <w:pStyle w:val="NormalWeb"/>
              <w:numPr>
                <w:ilvl w:val="0"/>
                <w:numId w:val="7"/>
              </w:numPr>
              <w:spacing w:before="0" w:beforeAutospacing="0" w:after="0" w:afterAutospacing="0"/>
              <w:jc w:val="center"/>
              <w:rPr>
                <w:rFonts w:asciiTheme="minorHAnsi" w:hAnsiTheme="minorHAnsi" w:cstheme="minorHAnsi"/>
                <w:color w:val="000000"/>
                <w:sz w:val="20"/>
                <w:szCs w:val="20"/>
              </w:rPr>
            </w:pPr>
          </w:p>
        </w:tc>
        <w:tc>
          <w:tcPr>
            <w:tcW w:w="3775" w:type="pct"/>
            <w:tcMar>
              <w:top w:w="0" w:type="dxa"/>
              <w:left w:w="108" w:type="dxa"/>
              <w:bottom w:w="0" w:type="dxa"/>
              <w:right w:w="108" w:type="dxa"/>
            </w:tcMar>
            <w:vAlign w:val="center"/>
          </w:tcPr>
          <w:p w:rsidR="00645CF3" w:rsidRDefault="00990398" w:rsidP="00D914B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AMC of cold storage at RWHs</w:t>
            </w:r>
          </w:p>
        </w:tc>
        <w:tc>
          <w:tcPr>
            <w:tcW w:w="837" w:type="pct"/>
            <w:tcMar>
              <w:top w:w="0" w:type="dxa"/>
              <w:left w:w="108" w:type="dxa"/>
              <w:bottom w:w="0" w:type="dxa"/>
              <w:right w:w="108" w:type="dxa"/>
            </w:tcMar>
            <w:vAlign w:val="bottom"/>
          </w:tcPr>
          <w:p w:rsidR="00645CF3" w:rsidRDefault="00990398" w:rsidP="00D914B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color w:val="000000"/>
                <w:sz w:val="20"/>
                <w:szCs w:val="20"/>
              </w:rPr>
              <w:t>0.75</w:t>
            </w:r>
          </w:p>
        </w:tc>
      </w:tr>
      <w:tr w:rsidR="00990398" w:rsidRPr="004C442D" w:rsidTr="00990398">
        <w:trPr>
          <w:jc w:val="center"/>
        </w:trPr>
        <w:tc>
          <w:tcPr>
            <w:tcW w:w="387" w:type="pct"/>
            <w:tcMar>
              <w:top w:w="0" w:type="dxa"/>
              <w:left w:w="108" w:type="dxa"/>
              <w:bottom w:w="0" w:type="dxa"/>
              <w:right w:w="108" w:type="dxa"/>
            </w:tcMar>
            <w:vAlign w:val="center"/>
          </w:tcPr>
          <w:p w:rsidR="00990398" w:rsidRPr="00484863" w:rsidRDefault="00990398">
            <w:pPr>
              <w:pStyle w:val="NormalWeb"/>
              <w:numPr>
                <w:ilvl w:val="0"/>
                <w:numId w:val="7"/>
              </w:numPr>
              <w:spacing w:before="0" w:beforeAutospacing="0" w:after="0" w:afterAutospacing="0"/>
              <w:jc w:val="center"/>
              <w:rPr>
                <w:rFonts w:asciiTheme="minorHAnsi" w:hAnsiTheme="minorHAnsi" w:cstheme="minorHAnsi"/>
                <w:color w:val="000000"/>
                <w:sz w:val="20"/>
                <w:szCs w:val="20"/>
              </w:rPr>
            </w:pPr>
          </w:p>
        </w:tc>
        <w:tc>
          <w:tcPr>
            <w:tcW w:w="3775" w:type="pct"/>
            <w:tcMar>
              <w:top w:w="0" w:type="dxa"/>
              <w:left w:w="108" w:type="dxa"/>
              <w:bottom w:w="0" w:type="dxa"/>
              <w:right w:w="108" w:type="dxa"/>
            </w:tcMar>
            <w:vAlign w:val="center"/>
          </w:tcPr>
          <w:p w:rsidR="00990398" w:rsidRDefault="00990398" w:rsidP="00D914B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Insurance of RWH</w:t>
            </w:r>
          </w:p>
        </w:tc>
        <w:tc>
          <w:tcPr>
            <w:tcW w:w="837" w:type="pct"/>
            <w:tcMar>
              <w:top w:w="0" w:type="dxa"/>
              <w:left w:w="108" w:type="dxa"/>
              <w:bottom w:w="0" w:type="dxa"/>
              <w:right w:w="108" w:type="dxa"/>
            </w:tcMar>
            <w:vAlign w:val="bottom"/>
          </w:tcPr>
          <w:p w:rsidR="00990398" w:rsidRDefault="00990398" w:rsidP="00D914B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color w:val="000000"/>
                <w:sz w:val="20"/>
                <w:szCs w:val="20"/>
              </w:rPr>
              <w:t>12</w:t>
            </w:r>
          </w:p>
        </w:tc>
      </w:tr>
      <w:tr w:rsidR="00990398" w:rsidRPr="004C442D" w:rsidTr="00990398">
        <w:trPr>
          <w:jc w:val="center"/>
        </w:trPr>
        <w:tc>
          <w:tcPr>
            <w:tcW w:w="387" w:type="pct"/>
            <w:tcMar>
              <w:top w:w="0" w:type="dxa"/>
              <w:left w:w="108" w:type="dxa"/>
              <w:bottom w:w="0" w:type="dxa"/>
              <w:right w:w="108" w:type="dxa"/>
            </w:tcMar>
            <w:vAlign w:val="center"/>
          </w:tcPr>
          <w:p w:rsidR="00990398" w:rsidRPr="00484863" w:rsidRDefault="00990398" w:rsidP="00990398">
            <w:pPr>
              <w:pStyle w:val="NormalWeb"/>
              <w:spacing w:before="0" w:beforeAutospacing="0" w:after="0" w:afterAutospacing="0"/>
              <w:rPr>
                <w:rFonts w:asciiTheme="minorHAnsi" w:hAnsiTheme="minorHAnsi" w:cstheme="minorHAnsi"/>
                <w:color w:val="000000"/>
                <w:sz w:val="20"/>
                <w:szCs w:val="20"/>
              </w:rPr>
            </w:pPr>
          </w:p>
        </w:tc>
        <w:tc>
          <w:tcPr>
            <w:tcW w:w="3775" w:type="pct"/>
            <w:tcMar>
              <w:top w:w="0" w:type="dxa"/>
              <w:left w:w="108" w:type="dxa"/>
              <w:bottom w:w="0" w:type="dxa"/>
              <w:right w:w="108" w:type="dxa"/>
            </w:tcMar>
            <w:vAlign w:val="center"/>
          </w:tcPr>
          <w:p w:rsidR="00990398" w:rsidRPr="00645CF3" w:rsidRDefault="00990398" w:rsidP="00990398">
            <w:pPr>
              <w:pStyle w:val="NormalWeb"/>
              <w:spacing w:before="0" w:beforeAutospacing="0" w:after="0" w:afterAutospacing="0"/>
              <w:jc w:val="center"/>
              <w:rPr>
                <w:rFonts w:asciiTheme="minorHAnsi" w:hAnsiTheme="minorHAnsi" w:cstheme="minorHAnsi"/>
                <w:b/>
                <w:bCs/>
                <w:color w:val="000000"/>
                <w:sz w:val="20"/>
                <w:szCs w:val="20"/>
              </w:rPr>
            </w:pPr>
            <w:r w:rsidRPr="00645CF3">
              <w:rPr>
                <w:rFonts w:asciiTheme="minorHAnsi" w:hAnsiTheme="minorHAnsi" w:cstheme="minorHAnsi"/>
                <w:b/>
                <w:bCs/>
                <w:color w:val="000000"/>
                <w:sz w:val="20"/>
                <w:szCs w:val="20"/>
              </w:rPr>
              <w:t>Total</w:t>
            </w:r>
          </w:p>
        </w:tc>
        <w:tc>
          <w:tcPr>
            <w:tcW w:w="837" w:type="pct"/>
            <w:tcMar>
              <w:top w:w="0" w:type="dxa"/>
              <w:left w:w="108" w:type="dxa"/>
              <w:bottom w:w="0" w:type="dxa"/>
              <w:right w:w="108" w:type="dxa"/>
            </w:tcMar>
            <w:vAlign w:val="bottom"/>
          </w:tcPr>
          <w:p w:rsidR="00990398" w:rsidRPr="00484863" w:rsidRDefault="00990398" w:rsidP="00990398">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color w:val="000000"/>
                <w:sz w:val="20"/>
                <w:szCs w:val="20"/>
              </w:rPr>
              <w:t>4</w:t>
            </w:r>
            <w:r w:rsidR="00357FA7">
              <w:rPr>
                <w:rFonts w:asciiTheme="minorHAnsi" w:hAnsiTheme="minorHAnsi" w:cstheme="minorHAnsi"/>
                <w:color w:val="000000"/>
                <w:sz w:val="20"/>
                <w:szCs w:val="20"/>
              </w:rPr>
              <w:t>9.00</w:t>
            </w:r>
          </w:p>
        </w:tc>
      </w:tr>
    </w:tbl>
    <w:p w:rsidR="00645CF3" w:rsidRDefault="00645CF3">
      <w:pPr>
        <w:pStyle w:val="ListParagraph"/>
        <w:numPr>
          <w:ilvl w:val="0"/>
          <w:numId w:val="2"/>
        </w:numPr>
      </w:pPr>
      <w:r>
        <w:t>Budget breakdown for purchase of equipment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1"/>
        <w:gridCol w:w="6220"/>
        <w:gridCol w:w="812"/>
        <w:gridCol w:w="1297"/>
        <w:gridCol w:w="1398"/>
      </w:tblGrid>
      <w:tr w:rsidR="00645CF3" w:rsidRPr="004C442D" w:rsidTr="00D914B0">
        <w:trPr>
          <w:jc w:val="center"/>
        </w:trPr>
        <w:tc>
          <w:tcPr>
            <w:tcW w:w="282" w:type="pct"/>
            <w:tcMar>
              <w:top w:w="0" w:type="dxa"/>
              <w:left w:w="108" w:type="dxa"/>
              <w:bottom w:w="0" w:type="dxa"/>
              <w:right w:w="108" w:type="dxa"/>
            </w:tcMar>
            <w:vAlign w:val="center"/>
            <w:hideMark/>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sidRPr="00484863">
              <w:rPr>
                <w:rFonts w:asciiTheme="minorHAnsi" w:hAnsiTheme="minorHAnsi" w:cstheme="minorHAnsi"/>
                <w:b/>
                <w:bCs/>
                <w:color w:val="000000"/>
                <w:sz w:val="20"/>
                <w:szCs w:val="20"/>
                <w:lang w:val="en-IN"/>
              </w:rPr>
              <w:t>Sr. No.</w:t>
            </w:r>
          </w:p>
        </w:tc>
        <w:tc>
          <w:tcPr>
            <w:tcW w:w="3017" w:type="pct"/>
            <w:tcMar>
              <w:top w:w="0" w:type="dxa"/>
              <w:left w:w="108" w:type="dxa"/>
              <w:bottom w:w="0" w:type="dxa"/>
              <w:right w:w="108" w:type="dxa"/>
            </w:tcMar>
            <w:vAlign w:val="center"/>
            <w:hideMark/>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b/>
                <w:bCs/>
                <w:color w:val="000000"/>
                <w:sz w:val="20"/>
                <w:szCs w:val="20"/>
                <w:lang w:val="en-IN"/>
              </w:rPr>
              <w:t>Particular</w:t>
            </w:r>
          </w:p>
        </w:tc>
        <w:tc>
          <w:tcPr>
            <w:tcW w:w="394"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b/>
                <w:bCs/>
                <w:color w:val="000000"/>
                <w:sz w:val="20"/>
                <w:szCs w:val="20"/>
                <w:lang w:val="en-IN"/>
              </w:rPr>
            </w:pPr>
            <w:r>
              <w:rPr>
                <w:rFonts w:asciiTheme="minorHAnsi" w:hAnsiTheme="minorHAnsi" w:cstheme="minorHAnsi"/>
                <w:b/>
                <w:bCs/>
                <w:color w:val="000000"/>
                <w:sz w:val="20"/>
                <w:szCs w:val="20"/>
                <w:lang w:val="en-IN"/>
              </w:rPr>
              <w:t>Unit</w:t>
            </w:r>
          </w:p>
        </w:tc>
        <w:tc>
          <w:tcPr>
            <w:tcW w:w="629"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b/>
                <w:bCs/>
                <w:color w:val="000000"/>
                <w:sz w:val="20"/>
                <w:szCs w:val="20"/>
                <w:lang w:val="en-IN"/>
              </w:rPr>
            </w:pPr>
            <w:r>
              <w:rPr>
                <w:rFonts w:asciiTheme="minorHAnsi" w:hAnsiTheme="minorHAnsi" w:cstheme="minorHAnsi"/>
                <w:b/>
                <w:bCs/>
                <w:color w:val="000000"/>
                <w:sz w:val="20"/>
                <w:szCs w:val="20"/>
                <w:lang w:val="en-IN"/>
              </w:rPr>
              <w:t>Cost per Unit</w:t>
            </w:r>
          </w:p>
        </w:tc>
        <w:tc>
          <w:tcPr>
            <w:tcW w:w="678" w:type="pct"/>
            <w:tcMar>
              <w:top w:w="0" w:type="dxa"/>
              <w:left w:w="108" w:type="dxa"/>
              <w:bottom w:w="0" w:type="dxa"/>
              <w:right w:w="108" w:type="dxa"/>
            </w:tcMar>
            <w:vAlign w:val="center"/>
            <w:hideMark/>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b/>
                <w:bCs/>
                <w:color w:val="000000"/>
                <w:sz w:val="20"/>
                <w:szCs w:val="20"/>
                <w:lang w:val="en-IN"/>
              </w:rPr>
              <w:t>Total cost in Lakhs</w:t>
            </w:r>
          </w:p>
        </w:tc>
      </w:tr>
      <w:tr w:rsidR="00645CF3" w:rsidRPr="004C442D" w:rsidTr="00D914B0">
        <w:trPr>
          <w:jc w:val="center"/>
        </w:trPr>
        <w:tc>
          <w:tcPr>
            <w:tcW w:w="282" w:type="pct"/>
            <w:tcMar>
              <w:top w:w="0" w:type="dxa"/>
              <w:left w:w="108" w:type="dxa"/>
              <w:bottom w:w="0" w:type="dxa"/>
              <w:right w:w="108" w:type="dxa"/>
            </w:tcMar>
            <w:vAlign w:val="center"/>
          </w:tcPr>
          <w:p w:rsidR="00645CF3" w:rsidRPr="00484863" w:rsidRDefault="00645CF3">
            <w:pPr>
              <w:pStyle w:val="NormalWeb"/>
              <w:numPr>
                <w:ilvl w:val="0"/>
                <w:numId w:val="6"/>
              </w:numPr>
              <w:spacing w:before="0" w:beforeAutospacing="0" w:after="0" w:afterAutospacing="0"/>
              <w:jc w:val="center"/>
              <w:rPr>
                <w:rFonts w:asciiTheme="minorHAnsi" w:hAnsiTheme="minorHAnsi" w:cstheme="minorHAnsi"/>
                <w:color w:val="000000"/>
                <w:sz w:val="20"/>
                <w:szCs w:val="20"/>
              </w:rPr>
            </w:pPr>
          </w:p>
        </w:tc>
        <w:tc>
          <w:tcPr>
            <w:tcW w:w="3017" w:type="pct"/>
            <w:tcMar>
              <w:top w:w="0" w:type="dxa"/>
              <w:left w:w="108" w:type="dxa"/>
              <w:bottom w:w="0" w:type="dxa"/>
              <w:right w:w="108" w:type="dxa"/>
            </w:tcMar>
            <w:vAlign w:val="center"/>
          </w:tcPr>
          <w:p w:rsidR="00645CF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Calibri" w:hAnsi="Calibri" w:cs="Calibri"/>
                <w:color w:val="000000"/>
                <w:sz w:val="20"/>
                <w:szCs w:val="20"/>
              </w:rPr>
              <w:t>Manual Stackers</w:t>
            </w:r>
          </w:p>
        </w:tc>
        <w:tc>
          <w:tcPr>
            <w:tcW w:w="394" w:type="pct"/>
            <w:vAlign w:val="center"/>
          </w:tcPr>
          <w:p w:rsidR="00645CF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3</w:t>
            </w:r>
          </w:p>
        </w:tc>
        <w:tc>
          <w:tcPr>
            <w:tcW w:w="629" w:type="pct"/>
            <w:vAlign w:val="center"/>
          </w:tcPr>
          <w:p w:rsidR="00645CF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38,000</w:t>
            </w:r>
          </w:p>
        </w:tc>
        <w:tc>
          <w:tcPr>
            <w:tcW w:w="678" w:type="pct"/>
            <w:tcMar>
              <w:top w:w="0" w:type="dxa"/>
              <w:left w:w="108" w:type="dxa"/>
              <w:bottom w:w="0" w:type="dxa"/>
              <w:right w:w="108" w:type="dxa"/>
            </w:tcMar>
            <w:vAlign w:val="center"/>
          </w:tcPr>
          <w:p w:rsidR="00645CF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0"/>
                <w:szCs w:val="20"/>
              </w:rPr>
              <w:t>1,14,000</w:t>
            </w:r>
          </w:p>
        </w:tc>
      </w:tr>
      <w:tr w:rsidR="00645CF3" w:rsidRPr="004C442D" w:rsidTr="00D914B0">
        <w:trPr>
          <w:jc w:val="center"/>
        </w:trPr>
        <w:tc>
          <w:tcPr>
            <w:tcW w:w="282" w:type="pct"/>
            <w:tcMar>
              <w:top w:w="0" w:type="dxa"/>
              <w:left w:w="108" w:type="dxa"/>
              <w:bottom w:w="0" w:type="dxa"/>
              <w:right w:w="108" w:type="dxa"/>
            </w:tcMar>
            <w:vAlign w:val="center"/>
          </w:tcPr>
          <w:p w:rsidR="00645CF3" w:rsidRPr="00484863" w:rsidRDefault="00645CF3">
            <w:pPr>
              <w:pStyle w:val="NormalWeb"/>
              <w:numPr>
                <w:ilvl w:val="0"/>
                <w:numId w:val="6"/>
              </w:numPr>
              <w:spacing w:before="0" w:beforeAutospacing="0" w:after="0" w:afterAutospacing="0"/>
              <w:jc w:val="center"/>
              <w:rPr>
                <w:rFonts w:asciiTheme="minorHAnsi" w:hAnsiTheme="minorHAnsi" w:cstheme="minorHAnsi"/>
                <w:color w:val="000000"/>
                <w:sz w:val="20"/>
                <w:szCs w:val="20"/>
              </w:rPr>
            </w:pPr>
          </w:p>
        </w:tc>
        <w:tc>
          <w:tcPr>
            <w:tcW w:w="3017"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Calibri" w:hAnsi="Calibri" w:cs="Calibri"/>
                <w:color w:val="000000"/>
                <w:sz w:val="20"/>
                <w:szCs w:val="20"/>
              </w:rPr>
              <w:t>Electric Stackers</w:t>
            </w:r>
          </w:p>
        </w:tc>
        <w:tc>
          <w:tcPr>
            <w:tcW w:w="394"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2</w:t>
            </w:r>
          </w:p>
        </w:tc>
        <w:tc>
          <w:tcPr>
            <w:tcW w:w="629"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80,000</w:t>
            </w:r>
          </w:p>
        </w:tc>
        <w:tc>
          <w:tcPr>
            <w:tcW w:w="678"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0"/>
                <w:szCs w:val="20"/>
              </w:rPr>
              <w:t>1,60,000</w:t>
            </w:r>
          </w:p>
        </w:tc>
      </w:tr>
      <w:tr w:rsidR="00645CF3" w:rsidRPr="004C442D" w:rsidTr="00D914B0">
        <w:trPr>
          <w:jc w:val="center"/>
        </w:trPr>
        <w:tc>
          <w:tcPr>
            <w:tcW w:w="282" w:type="pct"/>
            <w:tcMar>
              <w:top w:w="0" w:type="dxa"/>
              <w:left w:w="108" w:type="dxa"/>
              <w:bottom w:w="0" w:type="dxa"/>
              <w:right w:w="108" w:type="dxa"/>
            </w:tcMar>
            <w:vAlign w:val="center"/>
          </w:tcPr>
          <w:p w:rsidR="00645CF3" w:rsidRPr="00484863" w:rsidRDefault="00645CF3">
            <w:pPr>
              <w:pStyle w:val="NormalWeb"/>
              <w:numPr>
                <w:ilvl w:val="0"/>
                <w:numId w:val="6"/>
              </w:numPr>
              <w:spacing w:before="0" w:beforeAutospacing="0" w:after="0" w:afterAutospacing="0"/>
              <w:jc w:val="center"/>
              <w:rPr>
                <w:rFonts w:asciiTheme="minorHAnsi" w:hAnsiTheme="minorHAnsi" w:cstheme="minorHAnsi"/>
                <w:color w:val="000000"/>
                <w:sz w:val="20"/>
                <w:szCs w:val="20"/>
              </w:rPr>
            </w:pPr>
          </w:p>
        </w:tc>
        <w:tc>
          <w:tcPr>
            <w:tcW w:w="3017"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Calibri" w:hAnsi="Calibri" w:cs="Calibri"/>
                <w:color w:val="000000"/>
                <w:sz w:val="20"/>
                <w:szCs w:val="20"/>
              </w:rPr>
              <w:t>AC (1.5-ton, 3 star rating)</w:t>
            </w:r>
          </w:p>
        </w:tc>
        <w:tc>
          <w:tcPr>
            <w:tcW w:w="394"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4</w:t>
            </w:r>
          </w:p>
        </w:tc>
        <w:tc>
          <w:tcPr>
            <w:tcW w:w="629"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45,000</w:t>
            </w:r>
          </w:p>
        </w:tc>
        <w:tc>
          <w:tcPr>
            <w:tcW w:w="678"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0"/>
                <w:szCs w:val="20"/>
              </w:rPr>
              <w:t>1,80,000</w:t>
            </w:r>
          </w:p>
        </w:tc>
      </w:tr>
      <w:tr w:rsidR="00645CF3" w:rsidRPr="004C442D" w:rsidTr="00D914B0">
        <w:trPr>
          <w:jc w:val="center"/>
        </w:trPr>
        <w:tc>
          <w:tcPr>
            <w:tcW w:w="282" w:type="pct"/>
            <w:tcMar>
              <w:top w:w="0" w:type="dxa"/>
              <w:left w:w="108" w:type="dxa"/>
              <w:bottom w:w="0" w:type="dxa"/>
              <w:right w:w="108" w:type="dxa"/>
            </w:tcMar>
            <w:vAlign w:val="center"/>
          </w:tcPr>
          <w:p w:rsidR="00645CF3" w:rsidRPr="00484863" w:rsidRDefault="00645CF3">
            <w:pPr>
              <w:pStyle w:val="NormalWeb"/>
              <w:numPr>
                <w:ilvl w:val="0"/>
                <w:numId w:val="6"/>
              </w:numPr>
              <w:spacing w:before="0" w:beforeAutospacing="0" w:after="0" w:afterAutospacing="0"/>
              <w:jc w:val="center"/>
              <w:rPr>
                <w:rFonts w:asciiTheme="minorHAnsi" w:hAnsiTheme="minorHAnsi" w:cstheme="minorHAnsi"/>
                <w:color w:val="000000"/>
                <w:sz w:val="20"/>
                <w:szCs w:val="20"/>
              </w:rPr>
            </w:pPr>
          </w:p>
        </w:tc>
        <w:tc>
          <w:tcPr>
            <w:tcW w:w="3017" w:type="pct"/>
            <w:tcMar>
              <w:top w:w="0" w:type="dxa"/>
              <w:left w:w="108" w:type="dxa"/>
              <w:bottom w:w="0" w:type="dxa"/>
              <w:right w:w="108" w:type="dxa"/>
            </w:tcMar>
            <w:vAlign w:val="center"/>
          </w:tcPr>
          <w:p w:rsidR="00645CF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Calibri" w:hAnsi="Calibri" w:cs="Calibri"/>
                <w:color w:val="000000"/>
                <w:sz w:val="20"/>
                <w:szCs w:val="20"/>
              </w:rPr>
              <w:t>AC for Cold Storage Unit</w:t>
            </w:r>
          </w:p>
        </w:tc>
        <w:tc>
          <w:tcPr>
            <w:tcW w:w="394"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6</w:t>
            </w:r>
          </w:p>
        </w:tc>
        <w:tc>
          <w:tcPr>
            <w:tcW w:w="629"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1,20,000</w:t>
            </w:r>
          </w:p>
        </w:tc>
        <w:tc>
          <w:tcPr>
            <w:tcW w:w="678"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0"/>
                <w:szCs w:val="20"/>
              </w:rPr>
              <w:t>7,20,000</w:t>
            </w:r>
          </w:p>
        </w:tc>
      </w:tr>
      <w:tr w:rsidR="00645CF3" w:rsidRPr="004C442D" w:rsidTr="00D914B0">
        <w:trPr>
          <w:jc w:val="center"/>
        </w:trPr>
        <w:tc>
          <w:tcPr>
            <w:tcW w:w="282" w:type="pct"/>
            <w:tcMar>
              <w:top w:w="0" w:type="dxa"/>
              <w:left w:w="108" w:type="dxa"/>
              <w:bottom w:w="0" w:type="dxa"/>
              <w:right w:w="108" w:type="dxa"/>
            </w:tcMar>
            <w:vAlign w:val="center"/>
          </w:tcPr>
          <w:p w:rsidR="00645CF3" w:rsidRPr="00484863" w:rsidRDefault="00645CF3">
            <w:pPr>
              <w:pStyle w:val="NormalWeb"/>
              <w:numPr>
                <w:ilvl w:val="0"/>
                <w:numId w:val="6"/>
              </w:numPr>
              <w:spacing w:before="0" w:beforeAutospacing="0" w:after="0" w:afterAutospacing="0"/>
              <w:jc w:val="center"/>
              <w:rPr>
                <w:rFonts w:asciiTheme="minorHAnsi" w:hAnsiTheme="minorHAnsi" w:cstheme="minorHAnsi"/>
                <w:color w:val="000000"/>
                <w:sz w:val="20"/>
                <w:szCs w:val="20"/>
              </w:rPr>
            </w:pPr>
          </w:p>
        </w:tc>
        <w:tc>
          <w:tcPr>
            <w:tcW w:w="3017"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Calibri" w:hAnsi="Calibri" w:cs="Calibri"/>
                <w:color w:val="000000"/>
                <w:sz w:val="20"/>
                <w:szCs w:val="20"/>
              </w:rPr>
              <w:t>Exhaust Fan</w:t>
            </w:r>
          </w:p>
        </w:tc>
        <w:tc>
          <w:tcPr>
            <w:tcW w:w="394"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20</w:t>
            </w:r>
          </w:p>
        </w:tc>
        <w:tc>
          <w:tcPr>
            <w:tcW w:w="629"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3,200</w:t>
            </w:r>
          </w:p>
        </w:tc>
        <w:tc>
          <w:tcPr>
            <w:tcW w:w="678"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0"/>
                <w:szCs w:val="20"/>
              </w:rPr>
              <w:t>64,000</w:t>
            </w:r>
          </w:p>
        </w:tc>
      </w:tr>
      <w:tr w:rsidR="00645CF3" w:rsidRPr="004C442D" w:rsidTr="00D914B0">
        <w:trPr>
          <w:jc w:val="center"/>
        </w:trPr>
        <w:tc>
          <w:tcPr>
            <w:tcW w:w="282" w:type="pct"/>
            <w:tcMar>
              <w:top w:w="0" w:type="dxa"/>
              <w:left w:w="108" w:type="dxa"/>
              <w:bottom w:w="0" w:type="dxa"/>
              <w:right w:w="108" w:type="dxa"/>
            </w:tcMar>
            <w:vAlign w:val="center"/>
          </w:tcPr>
          <w:p w:rsidR="00645CF3" w:rsidRPr="00484863" w:rsidRDefault="00645CF3">
            <w:pPr>
              <w:pStyle w:val="NormalWeb"/>
              <w:numPr>
                <w:ilvl w:val="0"/>
                <w:numId w:val="6"/>
              </w:numPr>
              <w:spacing w:before="0" w:beforeAutospacing="0" w:after="0" w:afterAutospacing="0"/>
              <w:jc w:val="center"/>
              <w:rPr>
                <w:rFonts w:asciiTheme="minorHAnsi" w:hAnsiTheme="minorHAnsi" w:cstheme="minorHAnsi"/>
                <w:color w:val="000000"/>
                <w:sz w:val="20"/>
                <w:szCs w:val="20"/>
              </w:rPr>
            </w:pPr>
          </w:p>
        </w:tc>
        <w:tc>
          <w:tcPr>
            <w:tcW w:w="3017"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Calibri" w:hAnsi="Calibri" w:cs="Calibri"/>
                <w:color w:val="000000"/>
                <w:sz w:val="20"/>
                <w:szCs w:val="20"/>
              </w:rPr>
              <w:t>Wall Fan</w:t>
            </w:r>
          </w:p>
        </w:tc>
        <w:tc>
          <w:tcPr>
            <w:tcW w:w="394"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13</w:t>
            </w:r>
          </w:p>
        </w:tc>
        <w:tc>
          <w:tcPr>
            <w:tcW w:w="629"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3,000</w:t>
            </w:r>
          </w:p>
        </w:tc>
        <w:tc>
          <w:tcPr>
            <w:tcW w:w="678"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0"/>
                <w:szCs w:val="20"/>
              </w:rPr>
              <w:t>39,000</w:t>
            </w:r>
          </w:p>
        </w:tc>
      </w:tr>
      <w:tr w:rsidR="00645CF3" w:rsidRPr="004C442D" w:rsidTr="00D914B0">
        <w:trPr>
          <w:jc w:val="center"/>
        </w:trPr>
        <w:tc>
          <w:tcPr>
            <w:tcW w:w="282" w:type="pct"/>
            <w:tcMar>
              <w:top w:w="0" w:type="dxa"/>
              <w:left w:w="108" w:type="dxa"/>
              <w:bottom w:w="0" w:type="dxa"/>
              <w:right w:w="108" w:type="dxa"/>
            </w:tcMar>
            <w:vAlign w:val="center"/>
          </w:tcPr>
          <w:p w:rsidR="00645CF3" w:rsidRPr="00484863" w:rsidRDefault="00645CF3">
            <w:pPr>
              <w:pStyle w:val="NormalWeb"/>
              <w:numPr>
                <w:ilvl w:val="0"/>
                <w:numId w:val="6"/>
              </w:numPr>
              <w:spacing w:before="0" w:beforeAutospacing="0" w:after="0" w:afterAutospacing="0"/>
              <w:jc w:val="center"/>
              <w:rPr>
                <w:rFonts w:asciiTheme="minorHAnsi" w:hAnsiTheme="minorHAnsi" w:cstheme="minorHAnsi"/>
                <w:color w:val="000000"/>
                <w:sz w:val="20"/>
                <w:szCs w:val="20"/>
              </w:rPr>
            </w:pPr>
          </w:p>
        </w:tc>
        <w:tc>
          <w:tcPr>
            <w:tcW w:w="3017" w:type="pct"/>
            <w:tcMar>
              <w:top w:w="0" w:type="dxa"/>
              <w:left w:w="108" w:type="dxa"/>
              <w:bottom w:w="0" w:type="dxa"/>
              <w:right w:w="108" w:type="dxa"/>
            </w:tcMar>
            <w:vAlign w:val="center"/>
          </w:tcPr>
          <w:p w:rsidR="00645CF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Calibri" w:hAnsi="Calibri" w:cs="Calibri"/>
                <w:color w:val="000000"/>
                <w:sz w:val="20"/>
                <w:szCs w:val="20"/>
              </w:rPr>
              <w:t>CCTV</w:t>
            </w:r>
          </w:p>
        </w:tc>
        <w:tc>
          <w:tcPr>
            <w:tcW w:w="394"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27</w:t>
            </w:r>
          </w:p>
        </w:tc>
        <w:tc>
          <w:tcPr>
            <w:tcW w:w="629"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3,000</w:t>
            </w:r>
          </w:p>
        </w:tc>
        <w:tc>
          <w:tcPr>
            <w:tcW w:w="678"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0"/>
                <w:szCs w:val="20"/>
              </w:rPr>
              <w:t>81,000</w:t>
            </w:r>
          </w:p>
        </w:tc>
      </w:tr>
      <w:tr w:rsidR="00645CF3" w:rsidRPr="004C442D" w:rsidTr="00D914B0">
        <w:trPr>
          <w:jc w:val="center"/>
        </w:trPr>
        <w:tc>
          <w:tcPr>
            <w:tcW w:w="282" w:type="pct"/>
            <w:tcMar>
              <w:top w:w="0" w:type="dxa"/>
              <w:left w:w="108" w:type="dxa"/>
              <w:bottom w:w="0" w:type="dxa"/>
              <w:right w:w="108" w:type="dxa"/>
            </w:tcMar>
            <w:vAlign w:val="center"/>
          </w:tcPr>
          <w:p w:rsidR="00645CF3" w:rsidRPr="00484863" w:rsidRDefault="00645CF3">
            <w:pPr>
              <w:pStyle w:val="NormalWeb"/>
              <w:numPr>
                <w:ilvl w:val="0"/>
                <w:numId w:val="6"/>
              </w:numPr>
              <w:spacing w:before="0" w:beforeAutospacing="0" w:after="0" w:afterAutospacing="0"/>
              <w:jc w:val="center"/>
              <w:rPr>
                <w:rFonts w:asciiTheme="minorHAnsi" w:hAnsiTheme="minorHAnsi" w:cstheme="minorHAnsi"/>
                <w:color w:val="000000"/>
                <w:sz w:val="20"/>
                <w:szCs w:val="20"/>
              </w:rPr>
            </w:pPr>
          </w:p>
        </w:tc>
        <w:tc>
          <w:tcPr>
            <w:tcW w:w="3017" w:type="pct"/>
            <w:tcMar>
              <w:top w:w="0" w:type="dxa"/>
              <w:left w:w="108" w:type="dxa"/>
              <w:bottom w:w="0" w:type="dxa"/>
              <w:right w:w="108" w:type="dxa"/>
            </w:tcMar>
            <w:vAlign w:val="center"/>
          </w:tcPr>
          <w:p w:rsidR="00645CF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Calibri" w:hAnsi="Calibri" w:cs="Calibri"/>
                <w:color w:val="000000"/>
                <w:sz w:val="20"/>
                <w:szCs w:val="20"/>
              </w:rPr>
              <w:t>Flood lights (50W)</w:t>
            </w:r>
          </w:p>
        </w:tc>
        <w:tc>
          <w:tcPr>
            <w:tcW w:w="394"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28</w:t>
            </w:r>
          </w:p>
        </w:tc>
        <w:tc>
          <w:tcPr>
            <w:tcW w:w="629" w:type="pct"/>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4,600</w:t>
            </w:r>
          </w:p>
        </w:tc>
        <w:tc>
          <w:tcPr>
            <w:tcW w:w="678"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0"/>
                <w:szCs w:val="20"/>
              </w:rPr>
              <w:t>1,28,800</w:t>
            </w:r>
          </w:p>
        </w:tc>
      </w:tr>
      <w:tr w:rsidR="00645CF3" w:rsidRPr="004C442D" w:rsidTr="00D914B0">
        <w:trPr>
          <w:jc w:val="center"/>
        </w:trPr>
        <w:tc>
          <w:tcPr>
            <w:tcW w:w="282" w:type="pct"/>
            <w:tcMar>
              <w:top w:w="0" w:type="dxa"/>
              <w:left w:w="108" w:type="dxa"/>
              <w:bottom w:w="0" w:type="dxa"/>
              <w:right w:w="108" w:type="dxa"/>
            </w:tcMar>
            <w:vAlign w:val="center"/>
          </w:tcPr>
          <w:p w:rsidR="00645CF3" w:rsidRPr="00484863" w:rsidRDefault="00645CF3">
            <w:pPr>
              <w:pStyle w:val="NormalWeb"/>
              <w:numPr>
                <w:ilvl w:val="0"/>
                <w:numId w:val="6"/>
              </w:numPr>
              <w:spacing w:before="0" w:beforeAutospacing="0" w:after="0" w:afterAutospacing="0"/>
              <w:jc w:val="center"/>
              <w:rPr>
                <w:rFonts w:asciiTheme="minorHAnsi" w:hAnsiTheme="minorHAnsi" w:cstheme="minorHAnsi"/>
                <w:color w:val="000000"/>
                <w:sz w:val="20"/>
                <w:szCs w:val="20"/>
              </w:rPr>
            </w:pPr>
          </w:p>
        </w:tc>
        <w:tc>
          <w:tcPr>
            <w:tcW w:w="3017" w:type="pct"/>
            <w:tcMar>
              <w:top w:w="0" w:type="dxa"/>
              <w:left w:w="108" w:type="dxa"/>
              <w:bottom w:w="0" w:type="dxa"/>
              <w:right w:w="108" w:type="dxa"/>
            </w:tcMar>
            <w:vAlign w:val="center"/>
          </w:tcPr>
          <w:p w:rsidR="00645CF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Calibri" w:hAnsi="Calibri" w:cs="Calibri"/>
                <w:color w:val="000000"/>
                <w:sz w:val="20"/>
                <w:szCs w:val="20"/>
              </w:rPr>
              <w:t>Fire Extinguisher (CO2 type)</w:t>
            </w:r>
          </w:p>
        </w:tc>
        <w:tc>
          <w:tcPr>
            <w:tcW w:w="394" w:type="pct"/>
            <w:vAlign w:val="center"/>
          </w:tcPr>
          <w:p w:rsidR="00645CF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10</w:t>
            </w:r>
          </w:p>
        </w:tc>
        <w:tc>
          <w:tcPr>
            <w:tcW w:w="629" w:type="pct"/>
            <w:vAlign w:val="center"/>
          </w:tcPr>
          <w:p w:rsidR="00645CF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6,800</w:t>
            </w:r>
          </w:p>
        </w:tc>
        <w:tc>
          <w:tcPr>
            <w:tcW w:w="678" w:type="pct"/>
            <w:tcMar>
              <w:top w:w="0" w:type="dxa"/>
              <w:left w:w="108" w:type="dxa"/>
              <w:bottom w:w="0" w:type="dxa"/>
              <w:right w:w="108" w:type="dxa"/>
            </w:tcMar>
            <w:vAlign w:val="center"/>
          </w:tcPr>
          <w:p w:rsidR="00645CF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0"/>
                <w:szCs w:val="20"/>
              </w:rPr>
              <w:t>68,000</w:t>
            </w:r>
          </w:p>
        </w:tc>
      </w:tr>
      <w:tr w:rsidR="00645CF3" w:rsidRPr="004C442D" w:rsidTr="00D914B0">
        <w:trPr>
          <w:jc w:val="center"/>
        </w:trPr>
        <w:tc>
          <w:tcPr>
            <w:tcW w:w="282" w:type="pct"/>
            <w:tcMar>
              <w:top w:w="0" w:type="dxa"/>
              <w:left w:w="108" w:type="dxa"/>
              <w:bottom w:w="0" w:type="dxa"/>
              <w:right w:w="108" w:type="dxa"/>
            </w:tcMar>
            <w:vAlign w:val="center"/>
          </w:tcPr>
          <w:p w:rsidR="00645CF3" w:rsidRPr="00484863" w:rsidRDefault="00645CF3">
            <w:pPr>
              <w:pStyle w:val="NormalWeb"/>
              <w:numPr>
                <w:ilvl w:val="0"/>
                <w:numId w:val="6"/>
              </w:numPr>
              <w:spacing w:before="0" w:beforeAutospacing="0" w:after="0" w:afterAutospacing="0"/>
              <w:jc w:val="center"/>
              <w:rPr>
                <w:rFonts w:asciiTheme="minorHAnsi" w:hAnsiTheme="minorHAnsi" w:cstheme="minorHAnsi"/>
                <w:color w:val="000000"/>
                <w:sz w:val="20"/>
                <w:szCs w:val="20"/>
              </w:rPr>
            </w:pPr>
          </w:p>
        </w:tc>
        <w:tc>
          <w:tcPr>
            <w:tcW w:w="3017" w:type="pct"/>
            <w:tcMar>
              <w:top w:w="0" w:type="dxa"/>
              <w:left w:w="108" w:type="dxa"/>
              <w:bottom w:w="0" w:type="dxa"/>
              <w:right w:w="108" w:type="dxa"/>
            </w:tcMar>
            <w:vAlign w:val="center"/>
          </w:tcPr>
          <w:p w:rsidR="00645CF3" w:rsidRDefault="00645CF3" w:rsidP="00D914B0">
            <w:pPr>
              <w:pStyle w:val="NormalWeb"/>
              <w:spacing w:before="0" w:beforeAutospacing="0" w:after="0" w:afterAutospacing="0"/>
              <w:rPr>
                <w:rFonts w:asciiTheme="minorHAnsi" w:hAnsiTheme="minorHAnsi" w:cstheme="minorHAnsi"/>
                <w:color w:val="000000"/>
                <w:sz w:val="20"/>
                <w:szCs w:val="20"/>
              </w:rPr>
            </w:pPr>
            <w:r>
              <w:rPr>
                <w:rFonts w:ascii="Calibri" w:hAnsi="Calibri" w:cs="Calibri"/>
                <w:color w:val="000000"/>
                <w:sz w:val="20"/>
                <w:szCs w:val="20"/>
              </w:rPr>
              <w:t>RO Water Cooler</w:t>
            </w:r>
          </w:p>
        </w:tc>
        <w:tc>
          <w:tcPr>
            <w:tcW w:w="394" w:type="pct"/>
            <w:vAlign w:val="center"/>
          </w:tcPr>
          <w:p w:rsidR="00645CF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1</w:t>
            </w:r>
          </w:p>
        </w:tc>
        <w:tc>
          <w:tcPr>
            <w:tcW w:w="629" w:type="pct"/>
            <w:vAlign w:val="center"/>
          </w:tcPr>
          <w:p w:rsidR="00645CF3" w:rsidRDefault="00645CF3" w:rsidP="00D914B0">
            <w:pPr>
              <w:pStyle w:val="NormalWeb"/>
              <w:spacing w:before="0" w:beforeAutospacing="0" w:after="0" w:afterAutospacing="0"/>
              <w:jc w:val="center"/>
              <w:rPr>
                <w:rFonts w:asciiTheme="minorHAnsi" w:hAnsiTheme="minorHAnsi" w:cstheme="minorHAnsi"/>
                <w:color w:val="000000"/>
                <w:sz w:val="20"/>
                <w:szCs w:val="20"/>
                <w:lang w:val="en-IN"/>
              </w:rPr>
            </w:pPr>
            <w:r>
              <w:rPr>
                <w:rFonts w:ascii="Calibri" w:hAnsi="Calibri" w:cs="Calibri"/>
                <w:color w:val="000000"/>
                <w:sz w:val="20"/>
                <w:szCs w:val="20"/>
              </w:rPr>
              <w:t>75,000</w:t>
            </w:r>
          </w:p>
        </w:tc>
        <w:tc>
          <w:tcPr>
            <w:tcW w:w="678" w:type="pct"/>
            <w:tcMar>
              <w:top w:w="0" w:type="dxa"/>
              <w:left w:w="108" w:type="dxa"/>
              <w:bottom w:w="0" w:type="dxa"/>
              <w:right w:w="108" w:type="dxa"/>
            </w:tcMar>
            <w:vAlign w:val="center"/>
          </w:tcPr>
          <w:p w:rsidR="00645CF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Calibri" w:hAnsi="Calibri" w:cs="Calibri"/>
                <w:color w:val="000000"/>
                <w:sz w:val="20"/>
                <w:szCs w:val="20"/>
              </w:rPr>
              <w:t>75,000</w:t>
            </w:r>
          </w:p>
        </w:tc>
      </w:tr>
      <w:tr w:rsidR="00645CF3" w:rsidRPr="00A3335B" w:rsidTr="00D914B0">
        <w:trPr>
          <w:jc w:val="center"/>
        </w:trPr>
        <w:tc>
          <w:tcPr>
            <w:tcW w:w="282" w:type="pct"/>
            <w:tcMar>
              <w:top w:w="0" w:type="dxa"/>
              <w:left w:w="108" w:type="dxa"/>
              <w:bottom w:w="0" w:type="dxa"/>
              <w:right w:w="108" w:type="dxa"/>
            </w:tcMar>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p>
        </w:tc>
        <w:tc>
          <w:tcPr>
            <w:tcW w:w="3017" w:type="pct"/>
            <w:tcMar>
              <w:top w:w="0" w:type="dxa"/>
              <w:left w:w="108" w:type="dxa"/>
              <w:bottom w:w="0" w:type="dxa"/>
              <w:right w:w="108" w:type="dxa"/>
            </w:tcMar>
            <w:vAlign w:val="center"/>
            <w:hideMark/>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sidRPr="00484863">
              <w:rPr>
                <w:rFonts w:asciiTheme="minorHAnsi" w:hAnsiTheme="minorHAnsi" w:cstheme="minorHAnsi"/>
                <w:b/>
                <w:bCs/>
                <w:color w:val="000000"/>
                <w:sz w:val="20"/>
                <w:szCs w:val="20"/>
                <w:lang w:val="en-IN"/>
              </w:rPr>
              <w:t>Total</w:t>
            </w:r>
          </w:p>
        </w:tc>
        <w:tc>
          <w:tcPr>
            <w:tcW w:w="1701" w:type="pct"/>
            <w:gridSpan w:val="3"/>
            <w:vAlign w:val="center"/>
          </w:tcPr>
          <w:p w:rsidR="00645CF3" w:rsidRPr="00484863" w:rsidRDefault="00645CF3" w:rsidP="00D914B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color w:val="000000"/>
                <w:sz w:val="20"/>
                <w:szCs w:val="20"/>
              </w:rPr>
              <w:t>16,29,800</w:t>
            </w:r>
          </w:p>
        </w:tc>
      </w:tr>
    </w:tbl>
    <w:p w:rsidR="003107C9" w:rsidRDefault="003107C9" w:rsidP="00D66E30">
      <w:pPr>
        <w:spacing w:after="0"/>
        <w:rPr>
          <w:rFonts w:cstheme="minorHAnsi"/>
          <w:b/>
          <w:bCs/>
          <w:sz w:val="20"/>
          <w:szCs w:val="20"/>
          <w:u w:val="single"/>
        </w:rPr>
      </w:pPr>
    </w:p>
    <w:p w:rsidR="00645CF3" w:rsidRDefault="00645CF3" w:rsidP="00645CF3">
      <w:pPr>
        <w:pStyle w:val="ListParagraph"/>
        <w:spacing w:after="0"/>
        <w:rPr>
          <w:rFonts w:cstheme="minorHAnsi"/>
          <w:sz w:val="20"/>
          <w:szCs w:val="20"/>
        </w:rPr>
      </w:pPr>
    </w:p>
    <w:p w:rsidR="005A7FED" w:rsidRPr="005A7FED" w:rsidRDefault="005A7FED">
      <w:pPr>
        <w:pStyle w:val="ListParagraph"/>
        <w:numPr>
          <w:ilvl w:val="0"/>
          <w:numId w:val="2"/>
        </w:numPr>
        <w:jc w:val="both"/>
      </w:pPr>
      <w:r>
        <w:t xml:space="preserve">Budget for conducting Prescription Audits at selected Health Facilities-this data would then be corelated with the data obtained from the Anti-microbial </w:t>
      </w:r>
      <w:r>
        <w:rPr>
          <w:rFonts w:cstheme="minorHAnsi"/>
        </w:rPr>
        <w:t>Susceptibility Test (AST) to examine anti-microbial resistance prevalent in the state and improve the prescription behaviour at health facilities across the state.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11"/>
        <w:gridCol w:w="2098"/>
        <w:gridCol w:w="567"/>
        <w:gridCol w:w="994"/>
        <w:gridCol w:w="1133"/>
        <w:gridCol w:w="4902"/>
      </w:tblGrid>
      <w:tr w:rsidR="00CB3C4E" w:rsidRPr="004C442D" w:rsidTr="005856D0">
        <w:trPr>
          <w:jc w:val="center"/>
        </w:trPr>
        <w:tc>
          <w:tcPr>
            <w:tcW w:w="250" w:type="pct"/>
            <w:tcMar>
              <w:top w:w="0" w:type="dxa"/>
              <w:left w:w="108" w:type="dxa"/>
              <w:bottom w:w="0" w:type="dxa"/>
              <w:right w:w="108" w:type="dxa"/>
            </w:tcMar>
            <w:vAlign w:val="center"/>
            <w:hideMark/>
          </w:tcPr>
          <w:p w:rsidR="005A7FED" w:rsidRPr="00484863" w:rsidRDefault="005A7FED" w:rsidP="005856D0">
            <w:pPr>
              <w:pStyle w:val="NormalWeb"/>
              <w:spacing w:before="0" w:beforeAutospacing="0" w:after="0" w:afterAutospacing="0"/>
              <w:jc w:val="center"/>
              <w:rPr>
                <w:rFonts w:asciiTheme="minorHAnsi" w:hAnsiTheme="minorHAnsi" w:cstheme="minorHAnsi"/>
                <w:color w:val="000000"/>
                <w:sz w:val="20"/>
                <w:szCs w:val="20"/>
              </w:rPr>
            </w:pPr>
            <w:r w:rsidRPr="00484863">
              <w:rPr>
                <w:rFonts w:asciiTheme="minorHAnsi" w:hAnsiTheme="minorHAnsi" w:cstheme="minorHAnsi"/>
                <w:b/>
                <w:bCs/>
                <w:color w:val="000000"/>
                <w:sz w:val="20"/>
                <w:szCs w:val="20"/>
                <w:lang w:val="en-IN"/>
              </w:rPr>
              <w:t>Sr. No.</w:t>
            </w:r>
          </w:p>
        </w:tc>
        <w:tc>
          <w:tcPr>
            <w:tcW w:w="1028" w:type="pct"/>
            <w:tcMar>
              <w:top w:w="0" w:type="dxa"/>
              <w:left w:w="108" w:type="dxa"/>
              <w:bottom w:w="0" w:type="dxa"/>
              <w:right w:w="108" w:type="dxa"/>
            </w:tcMar>
            <w:vAlign w:val="center"/>
            <w:hideMark/>
          </w:tcPr>
          <w:p w:rsidR="005A7FED" w:rsidRPr="00484863" w:rsidRDefault="005A7FED" w:rsidP="005856D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b/>
                <w:bCs/>
                <w:color w:val="000000"/>
                <w:sz w:val="20"/>
                <w:szCs w:val="20"/>
                <w:lang w:val="en-IN"/>
              </w:rPr>
              <w:t>Category</w:t>
            </w:r>
          </w:p>
        </w:tc>
        <w:tc>
          <w:tcPr>
            <w:tcW w:w="278" w:type="pct"/>
            <w:vAlign w:val="center"/>
          </w:tcPr>
          <w:p w:rsidR="005A7FED" w:rsidRPr="00484863" w:rsidRDefault="005A7FED" w:rsidP="005856D0">
            <w:pPr>
              <w:pStyle w:val="NormalWeb"/>
              <w:spacing w:before="0" w:beforeAutospacing="0" w:after="0" w:afterAutospacing="0"/>
              <w:jc w:val="center"/>
              <w:rPr>
                <w:rFonts w:asciiTheme="minorHAnsi" w:hAnsiTheme="minorHAnsi" w:cstheme="minorHAnsi"/>
                <w:b/>
                <w:bCs/>
                <w:color w:val="000000"/>
                <w:sz w:val="20"/>
                <w:szCs w:val="20"/>
                <w:lang w:val="en-IN"/>
              </w:rPr>
            </w:pPr>
            <w:r>
              <w:rPr>
                <w:rFonts w:asciiTheme="minorHAnsi" w:hAnsiTheme="minorHAnsi" w:cstheme="minorHAnsi"/>
                <w:b/>
                <w:bCs/>
                <w:color w:val="000000"/>
                <w:sz w:val="20"/>
                <w:szCs w:val="20"/>
                <w:lang w:val="en-IN"/>
              </w:rPr>
              <w:t>Unit</w:t>
            </w:r>
          </w:p>
        </w:tc>
        <w:tc>
          <w:tcPr>
            <w:tcW w:w="487" w:type="pct"/>
            <w:vAlign w:val="center"/>
          </w:tcPr>
          <w:p w:rsidR="005A7FED" w:rsidRPr="00484863" w:rsidRDefault="005A7FED" w:rsidP="005856D0">
            <w:pPr>
              <w:pStyle w:val="NormalWeb"/>
              <w:spacing w:before="0" w:beforeAutospacing="0" w:after="0" w:afterAutospacing="0"/>
              <w:jc w:val="center"/>
              <w:rPr>
                <w:rFonts w:asciiTheme="minorHAnsi" w:hAnsiTheme="minorHAnsi" w:cstheme="minorHAnsi"/>
                <w:b/>
                <w:bCs/>
                <w:color w:val="000000"/>
                <w:sz w:val="20"/>
                <w:szCs w:val="20"/>
                <w:lang w:val="en-IN"/>
              </w:rPr>
            </w:pPr>
            <w:r>
              <w:rPr>
                <w:rFonts w:asciiTheme="minorHAnsi" w:hAnsiTheme="minorHAnsi" w:cstheme="minorHAnsi"/>
                <w:b/>
                <w:bCs/>
                <w:color w:val="000000"/>
                <w:sz w:val="20"/>
                <w:szCs w:val="20"/>
                <w:lang w:val="en-IN"/>
              </w:rPr>
              <w:t>Cost per Unit</w:t>
            </w:r>
          </w:p>
        </w:tc>
        <w:tc>
          <w:tcPr>
            <w:tcW w:w="555" w:type="pct"/>
            <w:tcMar>
              <w:top w:w="0" w:type="dxa"/>
              <w:left w:w="108" w:type="dxa"/>
              <w:bottom w:w="0" w:type="dxa"/>
              <w:right w:w="108" w:type="dxa"/>
            </w:tcMar>
            <w:vAlign w:val="center"/>
            <w:hideMark/>
          </w:tcPr>
          <w:p w:rsidR="005A7FED" w:rsidRPr="00484863" w:rsidRDefault="005A7FED" w:rsidP="005856D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b/>
                <w:bCs/>
                <w:color w:val="000000"/>
                <w:sz w:val="20"/>
                <w:szCs w:val="20"/>
                <w:lang w:val="en-IN"/>
              </w:rPr>
              <w:t>Total cost in Lakhs</w:t>
            </w:r>
          </w:p>
        </w:tc>
        <w:tc>
          <w:tcPr>
            <w:tcW w:w="2402" w:type="pct"/>
            <w:vAlign w:val="center"/>
          </w:tcPr>
          <w:p w:rsidR="005A7FED" w:rsidRDefault="00F2591C" w:rsidP="005856D0">
            <w:pPr>
              <w:pStyle w:val="NormalWeb"/>
              <w:spacing w:before="0" w:beforeAutospacing="0" w:after="0" w:afterAutospacing="0"/>
              <w:jc w:val="center"/>
              <w:rPr>
                <w:rFonts w:asciiTheme="minorHAnsi" w:hAnsiTheme="minorHAnsi" w:cstheme="minorHAnsi"/>
                <w:b/>
                <w:bCs/>
                <w:color w:val="000000"/>
                <w:sz w:val="20"/>
                <w:szCs w:val="20"/>
                <w:lang w:val="en-IN"/>
              </w:rPr>
            </w:pPr>
            <w:r>
              <w:rPr>
                <w:rFonts w:asciiTheme="minorHAnsi" w:hAnsiTheme="minorHAnsi" w:cstheme="minorHAnsi"/>
                <w:b/>
                <w:bCs/>
                <w:color w:val="000000"/>
                <w:sz w:val="20"/>
                <w:szCs w:val="20"/>
                <w:lang w:val="en-IN"/>
              </w:rPr>
              <w:t>Remark</w:t>
            </w:r>
          </w:p>
        </w:tc>
      </w:tr>
      <w:tr w:rsidR="00CB3C4E" w:rsidRPr="004C442D" w:rsidTr="005856D0">
        <w:trPr>
          <w:jc w:val="center"/>
        </w:trPr>
        <w:tc>
          <w:tcPr>
            <w:tcW w:w="250" w:type="pct"/>
            <w:tcMar>
              <w:top w:w="0" w:type="dxa"/>
              <w:left w:w="108" w:type="dxa"/>
              <w:bottom w:w="0" w:type="dxa"/>
              <w:right w:w="108" w:type="dxa"/>
            </w:tcMar>
            <w:vAlign w:val="center"/>
          </w:tcPr>
          <w:p w:rsidR="005A7FED" w:rsidRPr="00484863" w:rsidRDefault="005A7FED">
            <w:pPr>
              <w:pStyle w:val="NormalWeb"/>
              <w:numPr>
                <w:ilvl w:val="0"/>
                <w:numId w:val="15"/>
              </w:numPr>
              <w:spacing w:before="0" w:beforeAutospacing="0" w:after="0" w:afterAutospacing="0"/>
              <w:jc w:val="center"/>
              <w:rPr>
                <w:rFonts w:asciiTheme="minorHAnsi" w:hAnsiTheme="minorHAnsi" w:cstheme="minorHAnsi"/>
                <w:color w:val="000000"/>
                <w:sz w:val="20"/>
                <w:szCs w:val="20"/>
              </w:rPr>
            </w:pPr>
          </w:p>
        </w:tc>
        <w:tc>
          <w:tcPr>
            <w:tcW w:w="1028" w:type="pct"/>
            <w:tcMar>
              <w:top w:w="0" w:type="dxa"/>
              <w:left w:w="108" w:type="dxa"/>
              <w:bottom w:w="0" w:type="dxa"/>
              <w:right w:w="108" w:type="dxa"/>
            </w:tcMar>
            <w:vAlign w:val="center"/>
          </w:tcPr>
          <w:p w:rsidR="005A7FED" w:rsidRDefault="00E21BBA" w:rsidP="005856D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Data Collection and Cleaning</w:t>
            </w:r>
            <w:r w:rsidR="00C750CB">
              <w:rPr>
                <w:rFonts w:asciiTheme="minorHAnsi" w:hAnsiTheme="minorHAnsi" w:cstheme="minorHAnsi"/>
                <w:color w:val="000000"/>
                <w:sz w:val="20"/>
                <w:szCs w:val="20"/>
              </w:rPr>
              <w:t xml:space="preserve"> of OPD Prescriptions </w:t>
            </w:r>
          </w:p>
        </w:tc>
        <w:tc>
          <w:tcPr>
            <w:tcW w:w="278" w:type="pct"/>
            <w:vAlign w:val="center"/>
          </w:tcPr>
          <w:p w:rsidR="005A7FED" w:rsidRDefault="00C750CB" w:rsidP="005D217E">
            <w:pPr>
              <w:pStyle w:val="NormalWeb"/>
              <w:spacing w:before="0" w:beforeAutospacing="0" w:after="0" w:afterAutospacing="0"/>
              <w:jc w:val="center"/>
              <w:rPr>
                <w:rFonts w:asciiTheme="minorHAnsi" w:hAnsiTheme="minorHAnsi" w:cstheme="minorHAnsi"/>
                <w:color w:val="000000"/>
                <w:sz w:val="20"/>
                <w:szCs w:val="20"/>
                <w:lang w:val="en-IN"/>
              </w:rPr>
            </w:pPr>
            <w:r>
              <w:rPr>
                <w:rFonts w:asciiTheme="minorHAnsi" w:hAnsiTheme="minorHAnsi" w:cstheme="minorHAnsi"/>
                <w:color w:val="000000"/>
                <w:sz w:val="20"/>
                <w:szCs w:val="20"/>
                <w:lang w:val="en-IN"/>
              </w:rPr>
              <w:t>2,164</w:t>
            </w:r>
          </w:p>
        </w:tc>
        <w:tc>
          <w:tcPr>
            <w:tcW w:w="487" w:type="pct"/>
            <w:vAlign w:val="center"/>
          </w:tcPr>
          <w:p w:rsidR="005A7FED" w:rsidRDefault="00C750CB" w:rsidP="005856D0">
            <w:pPr>
              <w:pStyle w:val="NormalWeb"/>
              <w:spacing w:before="0" w:beforeAutospacing="0" w:after="0" w:afterAutospacing="0"/>
              <w:jc w:val="center"/>
              <w:rPr>
                <w:rFonts w:asciiTheme="minorHAnsi" w:hAnsiTheme="minorHAnsi" w:cstheme="minorHAnsi"/>
                <w:color w:val="000000"/>
                <w:sz w:val="20"/>
                <w:szCs w:val="20"/>
                <w:lang w:val="en-IN"/>
              </w:rPr>
            </w:pPr>
            <w:r>
              <w:rPr>
                <w:rFonts w:asciiTheme="minorHAnsi" w:hAnsiTheme="minorHAnsi" w:cstheme="minorHAnsi"/>
                <w:color w:val="000000"/>
                <w:sz w:val="20"/>
                <w:szCs w:val="20"/>
                <w:lang w:val="en-IN"/>
              </w:rPr>
              <w:t>15</w:t>
            </w:r>
          </w:p>
        </w:tc>
        <w:tc>
          <w:tcPr>
            <w:tcW w:w="555" w:type="pct"/>
            <w:tcMar>
              <w:top w:w="0" w:type="dxa"/>
              <w:left w:w="108" w:type="dxa"/>
              <w:bottom w:w="0" w:type="dxa"/>
              <w:right w:w="108" w:type="dxa"/>
            </w:tcMar>
            <w:vAlign w:val="center"/>
          </w:tcPr>
          <w:p w:rsidR="005A7FED" w:rsidRDefault="00E21BBA" w:rsidP="005856D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color w:val="000000"/>
                <w:sz w:val="20"/>
                <w:szCs w:val="20"/>
              </w:rPr>
              <w:t>32,460</w:t>
            </w:r>
          </w:p>
        </w:tc>
        <w:tc>
          <w:tcPr>
            <w:tcW w:w="2402" w:type="pct"/>
          </w:tcPr>
          <w:p w:rsidR="005A7FED" w:rsidRDefault="00E21BBA" w:rsidP="009A1D8E">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 xml:space="preserve">Rs 15 per OPD prescription for collection and cleaning, </w:t>
            </w:r>
          </w:p>
          <w:p w:rsidR="00E21BBA" w:rsidRDefault="00136A9D" w:rsidP="009A1D8E">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 xml:space="preserve">Type of health facility and Sample </w:t>
            </w:r>
            <w:r w:rsidR="00C750CB">
              <w:rPr>
                <w:rFonts w:ascii="Calibri" w:hAnsi="Calibri" w:cs="Calibri"/>
                <w:color w:val="000000"/>
                <w:sz w:val="20"/>
                <w:szCs w:val="20"/>
              </w:rPr>
              <w:t>size: -</w:t>
            </w:r>
          </w:p>
          <w:p w:rsidR="00136A9D" w:rsidRDefault="00136A9D" w:rsidP="009A1D8E">
            <w:pPr>
              <w:pStyle w:val="NormalWeb"/>
              <w:spacing w:before="0" w:beforeAutospacing="0" w:after="0" w:afterAutospacing="0"/>
              <w:ind w:left="360"/>
              <w:rPr>
                <w:rFonts w:ascii="Calibri" w:hAnsi="Calibri" w:cs="Calibri"/>
                <w:color w:val="000000"/>
                <w:sz w:val="20"/>
                <w:szCs w:val="20"/>
              </w:rPr>
            </w:pPr>
            <w:r>
              <w:rPr>
                <w:rFonts w:ascii="Calibri" w:hAnsi="Calibri" w:cs="Calibri"/>
                <w:color w:val="000000"/>
                <w:sz w:val="20"/>
                <w:szCs w:val="20"/>
              </w:rPr>
              <w:t>HWC – 09</w:t>
            </w:r>
          </w:p>
          <w:p w:rsidR="00136A9D" w:rsidRDefault="00136A9D" w:rsidP="009A1D8E">
            <w:pPr>
              <w:pStyle w:val="NormalWeb"/>
              <w:spacing w:before="0" w:beforeAutospacing="0" w:after="0" w:afterAutospacing="0"/>
              <w:ind w:left="360"/>
              <w:rPr>
                <w:rFonts w:ascii="Calibri" w:hAnsi="Calibri" w:cs="Calibri"/>
                <w:color w:val="000000"/>
                <w:sz w:val="20"/>
                <w:szCs w:val="20"/>
              </w:rPr>
            </w:pPr>
            <w:r>
              <w:rPr>
                <w:rFonts w:ascii="Calibri" w:hAnsi="Calibri" w:cs="Calibri"/>
                <w:color w:val="000000"/>
                <w:sz w:val="20"/>
                <w:szCs w:val="20"/>
              </w:rPr>
              <w:t>PHC – 17</w:t>
            </w:r>
          </w:p>
          <w:p w:rsidR="00136A9D" w:rsidRDefault="00136A9D" w:rsidP="009A1D8E">
            <w:pPr>
              <w:pStyle w:val="NormalWeb"/>
              <w:spacing w:before="0" w:beforeAutospacing="0" w:after="0" w:afterAutospacing="0"/>
              <w:ind w:left="360"/>
              <w:rPr>
                <w:rFonts w:ascii="Calibri" w:hAnsi="Calibri" w:cs="Calibri"/>
                <w:color w:val="000000"/>
                <w:sz w:val="20"/>
                <w:szCs w:val="20"/>
              </w:rPr>
            </w:pPr>
            <w:r>
              <w:rPr>
                <w:rFonts w:ascii="Calibri" w:hAnsi="Calibri" w:cs="Calibri"/>
                <w:color w:val="000000"/>
                <w:sz w:val="20"/>
                <w:szCs w:val="20"/>
              </w:rPr>
              <w:t>CHC – 50</w:t>
            </w:r>
          </w:p>
          <w:p w:rsidR="00136A9D" w:rsidRDefault="00136A9D" w:rsidP="009A1D8E">
            <w:pPr>
              <w:pStyle w:val="NormalWeb"/>
              <w:spacing w:before="0" w:beforeAutospacing="0" w:after="0" w:afterAutospacing="0"/>
              <w:ind w:left="360"/>
              <w:rPr>
                <w:rFonts w:ascii="Calibri" w:hAnsi="Calibri" w:cs="Calibri"/>
                <w:color w:val="000000"/>
                <w:sz w:val="20"/>
                <w:szCs w:val="20"/>
              </w:rPr>
            </w:pPr>
            <w:r>
              <w:rPr>
                <w:rFonts w:ascii="Calibri" w:hAnsi="Calibri" w:cs="Calibri"/>
                <w:color w:val="000000"/>
                <w:sz w:val="20"/>
                <w:szCs w:val="20"/>
              </w:rPr>
              <w:t>SDH – 81</w:t>
            </w:r>
          </w:p>
          <w:p w:rsidR="00136A9D" w:rsidRDefault="00136A9D" w:rsidP="009A1D8E">
            <w:pPr>
              <w:pStyle w:val="NormalWeb"/>
              <w:spacing w:before="0" w:beforeAutospacing="0" w:after="0" w:afterAutospacing="0"/>
              <w:ind w:left="360"/>
              <w:rPr>
                <w:rFonts w:ascii="Calibri" w:hAnsi="Calibri" w:cs="Calibri"/>
                <w:color w:val="000000"/>
                <w:sz w:val="20"/>
                <w:szCs w:val="20"/>
              </w:rPr>
            </w:pPr>
            <w:r>
              <w:rPr>
                <w:rFonts w:ascii="Calibri" w:hAnsi="Calibri" w:cs="Calibri"/>
                <w:color w:val="000000"/>
                <w:sz w:val="20"/>
                <w:szCs w:val="20"/>
              </w:rPr>
              <w:t>DH – 88</w:t>
            </w:r>
          </w:p>
          <w:p w:rsidR="00136A9D" w:rsidRDefault="00136A9D" w:rsidP="009A1D8E">
            <w:pPr>
              <w:pStyle w:val="NormalWeb"/>
              <w:spacing w:before="0" w:beforeAutospacing="0" w:after="0" w:afterAutospacing="0"/>
              <w:ind w:left="360"/>
              <w:rPr>
                <w:rFonts w:ascii="Calibri" w:hAnsi="Calibri" w:cs="Calibri"/>
                <w:color w:val="000000"/>
                <w:sz w:val="20"/>
                <w:szCs w:val="20"/>
              </w:rPr>
            </w:pPr>
            <w:r>
              <w:rPr>
                <w:rFonts w:ascii="Calibri" w:hAnsi="Calibri" w:cs="Calibri"/>
                <w:color w:val="000000"/>
                <w:sz w:val="20"/>
                <w:szCs w:val="20"/>
              </w:rPr>
              <w:t>MC - 94</w:t>
            </w:r>
          </w:p>
        </w:tc>
      </w:tr>
      <w:tr w:rsidR="00CB3C4E" w:rsidRPr="004C442D" w:rsidTr="005856D0">
        <w:trPr>
          <w:jc w:val="center"/>
        </w:trPr>
        <w:tc>
          <w:tcPr>
            <w:tcW w:w="250" w:type="pct"/>
            <w:tcMar>
              <w:top w:w="0" w:type="dxa"/>
              <w:left w:w="108" w:type="dxa"/>
              <w:bottom w:w="0" w:type="dxa"/>
              <w:right w:w="108" w:type="dxa"/>
            </w:tcMar>
            <w:vAlign w:val="center"/>
          </w:tcPr>
          <w:p w:rsidR="005A7FED" w:rsidRPr="00484863" w:rsidRDefault="005A7FED">
            <w:pPr>
              <w:pStyle w:val="NormalWeb"/>
              <w:numPr>
                <w:ilvl w:val="0"/>
                <w:numId w:val="15"/>
              </w:numPr>
              <w:spacing w:before="0" w:beforeAutospacing="0" w:after="0" w:afterAutospacing="0"/>
              <w:jc w:val="center"/>
              <w:rPr>
                <w:rFonts w:asciiTheme="minorHAnsi" w:hAnsiTheme="minorHAnsi" w:cstheme="minorHAnsi"/>
                <w:color w:val="000000"/>
                <w:sz w:val="20"/>
                <w:szCs w:val="20"/>
              </w:rPr>
            </w:pPr>
          </w:p>
        </w:tc>
        <w:tc>
          <w:tcPr>
            <w:tcW w:w="1028" w:type="pct"/>
            <w:tcMar>
              <w:top w:w="0" w:type="dxa"/>
              <w:left w:w="108" w:type="dxa"/>
              <w:bottom w:w="0" w:type="dxa"/>
              <w:right w:w="108" w:type="dxa"/>
            </w:tcMar>
            <w:vAlign w:val="center"/>
          </w:tcPr>
          <w:p w:rsidR="005A7FED" w:rsidRPr="00484863" w:rsidRDefault="00C750CB" w:rsidP="005856D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Data Collection and Cleaning of Anti-microbial Susceptibility Data (AST)</w:t>
            </w:r>
          </w:p>
        </w:tc>
        <w:tc>
          <w:tcPr>
            <w:tcW w:w="278" w:type="pct"/>
            <w:vAlign w:val="center"/>
          </w:tcPr>
          <w:p w:rsidR="005A7FED" w:rsidRPr="00484863" w:rsidRDefault="00C750CB" w:rsidP="005856D0">
            <w:pPr>
              <w:pStyle w:val="NormalWeb"/>
              <w:spacing w:before="0" w:beforeAutospacing="0" w:after="0" w:afterAutospacing="0"/>
              <w:jc w:val="center"/>
              <w:rPr>
                <w:rFonts w:asciiTheme="minorHAnsi" w:hAnsiTheme="minorHAnsi" w:cstheme="minorHAnsi"/>
                <w:color w:val="000000"/>
                <w:sz w:val="20"/>
                <w:szCs w:val="20"/>
                <w:lang w:val="en-IN"/>
              </w:rPr>
            </w:pPr>
            <w:r>
              <w:rPr>
                <w:rFonts w:asciiTheme="minorHAnsi" w:hAnsiTheme="minorHAnsi" w:cstheme="minorHAnsi"/>
                <w:color w:val="000000"/>
                <w:sz w:val="20"/>
                <w:szCs w:val="20"/>
                <w:lang w:val="en-IN"/>
              </w:rPr>
              <w:t>541</w:t>
            </w:r>
          </w:p>
        </w:tc>
        <w:tc>
          <w:tcPr>
            <w:tcW w:w="487" w:type="pct"/>
            <w:vAlign w:val="center"/>
          </w:tcPr>
          <w:p w:rsidR="005A7FED" w:rsidRPr="00484863" w:rsidRDefault="00C750CB" w:rsidP="005856D0">
            <w:pPr>
              <w:pStyle w:val="NormalWeb"/>
              <w:spacing w:before="0" w:beforeAutospacing="0" w:after="0" w:afterAutospacing="0"/>
              <w:jc w:val="center"/>
              <w:rPr>
                <w:rFonts w:asciiTheme="minorHAnsi" w:hAnsiTheme="minorHAnsi" w:cstheme="minorHAnsi"/>
                <w:color w:val="000000"/>
                <w:sz w:val="20"/>
                <w:szCs w:val="20"/>
                <w:lang w:val="en-IN"/>
              </w:rPr>
            </w:pPr>
            <w:r>
              <w:rPr>
                <w:rFonts w:asciiTheme="minorHAnsi" w:hAnsiTheme="minorHAnsi" w:cstheme="minorHAnsi"/>
                <w:color w:val="000000"/>
                <w:sz w:val="20"/>
                <w:szCs w:val="20"/>
                <w:lang w:val="en-IN"/>
              </w:rPr>
              <w:t>15</w:t>
            </w:r>
          </w:p>
        </w:tc>
        <w:tc>
          <w:tcPr>
            <w:tcW w:w="555" w:type="pct"/>
            <w:tcMar>
              <w:top w:w="0" w:type="dxa"/>
              <w:left w:w="108" w:type="dxa"/>
              <w:bottom w:w="0" w:type="dxa"/>
              <w:right w:w="108" w:type="dxa"/>
            </w:tcMar>
            <w:vAlign w:val="center"/>
          </w:tcPr>
          <w:p w:rsidR="005A7FED" w:rsidRPr="00484863" w:rsidRDefault="00C750CB" w:rsidP="005856D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color w:val="000000"/>
                <w:sz w:val="20"/>
                <w:szCs w:val="20"/>
              </w:rPr>
              <w:t>8,115</w:t>
            </w:r>
          </w:p>
        </w:tc>
        <w:tc>
          <w:tcPr>
            <w:tcW w:w="2402" w:type="pct"/>
          </w:tcPr>
          <w:p w:rsidR="00C750CB" w:rsidRDefault="00C750CB" w:rsidP="009A1D8E">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 xml:space="preserve">Rs 15 per AST test for collection and cleaning, </w:t>
            </w:r>
          </w:p>
          <w:p w:rsidR="00C750CB" w:rsidRDefault="00C750CB" w:rsidP="009A1D8E">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Type of health facility and Sample size: -</w:t>
            </w:r>
          </w:p>
          <w:p w:rsidR="00C750CB" w:rsidRDefault="00C750CB" w:rsidP="009A1D8E">
            <w:pPr>
              <w:pStyle w:val="NormalWeb"/>
              <w:spacing w:before="0" w:beforeAutospacing="0" w:after="0" w:afterAutospacing="0"/>
              <w:ind w:left="360"/>
              <w:rPr>
                <w:rFonts w:ascii="Calibri" w:hAnsi="Calibri" w:cs="Calibri"/>
                <w:color w:val="000000"/>
                <w:sz w:val="20"/>
                <w:szCs w:val="20"/>
              </w:rPr>
            </w:pPr>
            <w:r>
              <w:rPr>
                <w:rFonts w:ascii="Calibri" w:hAnsi="Calibri" w:cs="Calibri"/>
                <w:color w:val="000000"/>
                <w:sz w:val="20"/>
                <w:szCs w:val="20"/>
              </w:rPr>
              <w:t>DH – 17</w:t>
            </w:r>
          </w:p>
          <w:p w:rsidR="005A7FED" w:rsidRDefault="00C750CB" w:rsidP="009A1D8E">
            <w:pPr>
              <w:pStyle w:val="NormalWeb"/>
              <w:spacing w:before="0" w:beforeAutospacing="0" w:after="0" w:afterAutospacing="0"/>
              <w:ind w:left="360"/>
              <w:rPr>
                <w:rFonts w:ascii="Calibri" w:hAnsi="Calibri" w:cs="Calibri"/>
                <w:color w:val="000000"/>
                <w:sz w:val="20"/>
                <w:szCs w:val="20"/>
              </w:rPr>
            </w:pPr>
            <w:r>
              <w:rPr>
                <w:rFonts w:ascii="Calibri" w:hAnsi="Calibri" w:cs="Calibri"/>
                <w:color w:val="000000"/>
                <w:sz w:val="20"/>
                <w:szCs w:val="20"/>
              </w:rPr>
              <w:t>MC – 50</w:t>
            </w:r>
          </w:p>
        </w:tc>
      </w:tr>
      <w:tr w:rsidR="00CB3C4E" w:rsidRPr="004C442D" w:rsidTr="005856D0">
        <w:trPr>
          <w:jc w:val="center"/>
        </w:trPr>
        <w:tc>
          <w:tcPr>
            <w:tcW w:w="250" w:type="pct"/>
            <w:tcMar>
              <w:top w:w="0" w:type="dxa"/>
              <w:left w:w="108" w:type="dxa"/>
              <w:bottom w:w="0" w:type="dxa"/>
              <w:right w:w="108" w:type="dxa"/>
            </w:tcMar>
            <w:vAlign w:val="center"/>
          </w:tcPr>
          <w:p w:rsidR="005A7FED" w:rsidRPr="00484863" w:rsidRDefault="005A7FED">
            <w:pPr>
              <w:pStyle w:val="NormalWeb"/>
              <w:numPr>
                <w:ilvl w:val="0"/>
                <w:numId w:val="15"/>
              </w:numPr>
              <w:spacing w:before="0" w:beforeAutospacing="0" w:after="0" w:afterAutospacing="0"/>
              <w:jc w:val="center"/>
              <w:rPr>
                <w:rFonts w:asciiTheme="minorHAnsi" w:hAnsiTheme="minorHAnsi" w:cstheme="minorHAnsi"/>
                <w:color w:val="000000"/>
                <w:sz w:val="20"/>
                <w:szCs w:val="20"/>
              </w:rPr>
            </w:pPr>
          </w:p>
        </w:tc>
        <w:tc>
          <w:tcPr>
            <w:tcW w:w="1028" w:type="pct"/>
            <w:tcMar>
              <w:top w:w="0" w:type="dxa"/>
              <w:left w:w="108" w:type="dxa"/>
              <w:bottom w:w="0" w:type="dxa"/>
              <w:right w:w="108" w:type="dxa"/>
            </w:tcMar>
            <w:vAlign w:val="center"/>
          </w:tcPr>
          <w:p w:rsidR="005A7FED" w:rsidRPr="00484863" w:rsidRDefault="00DF7A2D" w:rsidP="005856D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Post Audit training of health facilities</w:t>
            </w:r>
          </w:p>
        </w:tc>
        <w:tc>
          <w:tcPr>
            <w:tcW w:w="278" w:type="pct"/>
            <w:vAlign w:val="center"/>
          </w:tcPr>
          <w:p w:rsidR="005A7FED" w:rsidRPr="00484863" w:rsidRDefault="00DF7A2D" w:rsidP="005856D0">
            <w:pPr>
              <w:pStyle w:val="NormalWeb"/>
              <w:spacing w:before="0" w:beforeAutospacing="0" w:after="0" w:afterAutospacing="0"/>
              <w:jc w:val="center"/>
              <w:rPr>
                <w:rFonts w:asciiTheme="minorHAnsi" w:hAnsiTheme="minorHAnsi" w:cstheme="minorHAnsi"/>
                <w:color w:val="000000"/>
                <w:sz w:val="20"/>
                <w:szCs w:val="20"/>
                <w:lang w:val="en-IN"/>
              </w:rPr>
            </w:pPr>
            <w:r>
              <w:rPr>
                <w:rFonts w:asciiTheme="minorHAnsi" w:hAnsiTheme="minorHAnsi" w:cstheme="minorHAnsi"/>
                <w:color w:val="000000"/>
                <w:sz w:val="20"/>
                <w:szCs w:val="20"/>
                <w:lang w:val="en-IN"/>
              </w:rPr>
              <w:t>3697</w:t>
            </w:r>
          </w:p>
        </w:tc>
        <w:tc>
          <w:tcPr>
            <w:tcW w:w="487" w:type="pct"/>
            <w:vAlign w:val="center"/>
          </w:tcPr>
          <w:p w:rsidR="005A7FED" w:rsidRPr="00484863" w:rsidRDefault="009A1D8E" w:rsidP="005856D0">
            <w:pPr>
              <w:pStyle w:val="NormalWeb"/>
              <w:spacing w:before="0" w:beforeAutospacing="0" w:after="0" w:afterAutospacing="0"/>
              <w:jc w:val="center"/>
              <w:rPr>
                <w:rFonts w:asciiTheme="minorHAnsi" w:hAnsiTheme="minorHAnsi" w:cstheme="minorHAnsi"/>
                <w:color w:val="000000"/>
                <w:sz w:val="20"/>
                <w:szCs w:val="20"/>
                <w:lang w:val="en-IN"/>
              </w:rPr>
            </w:pPr>
            <w:r>
              <w:rPr>
                <w:rFonts w:asciiTheme="minorHAnsi" w:hAnsiTheme="minorHAnsi" w:cstheme="minorHAnsi"/>
                <w:color w:val="000000"/>
                <w:sz w:val="20"/>
                <w:szCs w:val="20"/>
                <w:lang w:val="en-IN"/>
              </w:rPr>
              <w:t>518</w:t>
            </w:r>
          </w:p>
        </w:tc>
        <w:tc>
          <w:tcPr>
            <w:tcW w:w="555" w:type="pct"/>
            <w:tcMar>
              <w:top w:w="0" w:type="dxa"/>
              <w:left w:w="108" w:type="dxa"/>
              <w:bottom w:w="0" w:type="dxa"/>
              <w:right w:w="108" w:type="dxa"/>
            </w:tcMar>
            <w:vAlign w:val="center"/>
          </w:tcPr>
          <w:p w:rsidR="005A7FED" w:rsidRPr="00484863" w:rsidRDefault="009A1D8E" w:rsidP="005856D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color w:val="000000"/>
                <w:sz w:val="20"/>
                <w:szCs w:val="20"/>
              </w:rPr>
              <w:t>19</w:t>
            </w:r>
            <w:r w:rsidR="00DF7A2D">
              <w:rPr>
                <w:rFonts w:asciiTheme="minorHAnsi" w:hAnsiTheme="minorHAnsi" w:cstheme="minorHAnsi"/>
                <w:color w:val="000000"/>
                <w:sz w:val="20"/>
                <w:szCs w:val="20"/>
              </w:rPr>
              <w:t>,</w:t>
            </w:r>
            <w:r>
              <w:rPr>
                <w:rFonts w:asciiTheme="minorHAnsi" w:hAnsiTheme="minorHAnsi" w:cstheme="minorHAnsi"/>
                <w:color w:val="000000"/>
                <w:sz w:val="20"/>
                <w:szCs w:val="20"/>
              </w:rPr>
              <w:t>15</w:t>
            </w:r>
            <w:r w:rsidR="00DF7A2D">
              <w:rPr>
                <w:rFonts w:asciiTheme="minorHAnsi" w:hAnsiTheme="minorHAnsi" w:cstheme="minorHAnsi"/>
                <w:color w:val="000000"/>
                <w:sz w:val="20"/>
                <w:szCs w:val="20"/>
              </w:rPr>
              <w:t>,</w:t>
            </w:r>
            <w:r>
              <w:rPr>
                <w:rFonts w:asciiTheme="minorHAnsi" w:hAnsiTheme="minorHAnsi" w:cstheme="minorHAnsi"/>
                <w:color w:val="000000"/>
                <w:sz w:val="20"/>
                <w:szCs w:val="20"/>
              </w:rPr>
              <w:t>046</w:t>
            </w:r>
          </w:p>
        </w:tc>
        <w:tc>
          <w:tcPr>
            <w:tcW w:w="2402" w:type="pct"/>
          </w:tcPr>
          <w:p w:rsidR="009A1D8E" w:rsidRDefault="009A1D8E" w:rsidP="005A7FED">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One day training once a year, training to be organized at district level in batches for all facility in-charges.</w:t>
            </w:r>
          </w:p>
          <w:p w:rsidR="005A7FED" w:rsidRDefault="009A1D8E" w:rsidP="005A7FED">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Rs 350 per person for food, Rs 100 per person as incidental expenses and 15% as administrative expenses.</w:t>
            </w:r>
          </w:p>
        </w:tc>
      </w:tr>
      <w:tr w:rsidR="00DF7A2D" w:rsidRPr="004C442D" w:rsidTr="005856D0">
        <w:trPr>
          <w:jc w:val="center"/>
        </w:trPr>
        <w:tc>
          <w:tcPr>
            <w:tcW w:w="250" w:type="pct"/>
            <w:tcMar>
              <w:top w:w="0" w:type="dxa"/>
              <w:left w:w="108" w:type="dxa"/>
              <w:bottom w:w="0" w:type="dxa"/>
              <w:right w:w="108" w:type="dxa"/>
            </w:tcMar>
            <w:vAlign w:val="center"/>
          </w:tcPr>
          <w:p w:rsidR="00DF7A2D" w:rsidRPr="00484863" w:rsidRDefault="00DF7A2D">
            <w:pPr>
              <w:pStyle w:val="NormalWeb"/>
              <w:numPr>
                <w:ilvl w:val="0"/>
                <w:numId w:val="15"/>
              </w:numPr>
              <w:spacing w:before="0" w:beforeAutospacing="0" w:after="0" w:afterAutospacing="0"/>
              <w:jc w:val="center"/>
              <w:rPr>
                <w:rFonts w:asciiTheme="minorHAnsi" w:hAnsiTheme="minorHAnsi" w:cstheme="minorHAnsi"/>
                <w:color w:val="000000"/>
                <w:sz w:val="20"/>
                <w:szCs w:val="20"/>
              </w:rPr>
            </w:pPr>
          </w:p>
        </w:tc>
        <w:tc>
          <w:tcPr>
            <w:tcW w:w="1028" w:type="pct"/>
            <w:tcMar>
              <w:top w:w="0" w:type="dxa"/>
              <w:left w:w="108" w:type="dxa"/>
              <w:bottom w:w="0" w:type="dxa"/>
              <w:right w:w="108" w:type="dxa"/>
            </w:tcMar>
            <w:vAlign w:val="center"/>
          </w:tcPr>
          <w:p w:rsidR="00DF7A2D" w:rsidRDefault="00DF7A2D" w:rsidP="005856D0">
            <w:pPr>
              <w:pStyle w:val="NormalWeb"/>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Display of EDL list at all Health Facilities</w:t>
            </w:r>
          </w:p>
        </w:tc>
        <w:tc>
          <w:tcPr>
            <w:tcW w:w="278" w:type="pct"/>
            <w:vAlign w:val="center"/>
          </w:tcPr>
          <w:p w:rsidR="00DF7A2D" w:rsidRDefault="00997E91" w:rsidP="005856D0">
            <w:pPr>
              <w:pStyle w:val="NormalWeb"/>
              <w:spacing w:before="0" w:beforeAutospacing="0" w:after="0" w:afterAutospacing="0"/>
              <w:jc w:val="center"/>
              <w:rPr>
                <w:rFonts w:asciiTheme="minorHAnsi" w:hAnsiTheme="minorHAnsi" w:cstheme="minorHAnsi"/>
                <w:color w:val="000000"/>
                <w:sz w:val="20"/>
                <w:szCs w:val="20"/>
                <w:lang w:val="en-IN"/>
              </w:rPr>
            </w:pPr>
            <w:r>
              <w:rPr>
                <w:rFonts w:asciiTheme="minorHAnsi" w:hAnsiTheme="minorHAnsi" w:cstheme="minorHAnsi"/>
                <w:color w:val="000000"/>
                <w:sz w:val="20"/>
                <w:szCs w:val="20"/>
                <w:lang w:val="en-IN"/>
              </w:rPr>
              <w:t>7,394</w:t>
            </w:r>
          </w:p>
        </w:tc>
        <w:tc>
          <w:tcPr>
            <w:tcW w:w="487" w:type="pct"/>
            <w:vAlign w:val="center"/>
          </w:tcPr>
          <w:p w:rsidR="00DF7A2D" w:rsidRDefault="00DF7A2D" w:rsidP="005856D0">
            <w:pPr>
              <w:pStyle w:val="NormalWeb"/>
              <w:spacing w:before="0" w:beforeAutospacing="0" w:after="0" w:afterAutospacing="0"/>
              <w:jc w:val="center"/>
              <w:rPr>
                <w:rFonts w:asciiTheme="minorHAnsi" w:hAnsiTheme="minorHAnsi" w:cstheme="minorHAnsi"/>
                <w:color w:val="000000"/>
                <w:sz w:val="20"/>
                <w:szCs w:val="20"/>
                <w:lang w:val="en-IN"/>
              </w:rPr>
            </w:pPr>
            <w:r>
              <w:rPr>
                <w:rFonts w:asciiTheme="minorHAnsi" w:hAnsiTheme="minorHAnsi" w:cstheme="minorHAnsi"/>
                <w:color w:val="000000"/>
                <w:sz w:val="20"/>
                <w:szCs w:val="20"/>
                <w:lang w:val="en-IN"/>
              </w:rPr>
              <w:t>20</w:t>
            </w:r>
          </w:p>
        </w:tc>
        <w:tc>
          <w:tcPr>
            <w:tcW w:w="555" w:type="pct"/>
            <w:tcMar>
              <w:top w:w="0" w:type="dxa"/>
              <w:left w:w="108" w:type="dxa"/>
              <w:bottom w:w="0" w:type="dxa"/>
              <w:right w:w="108" w:type="dxa"/>
            </w:tcMar>
            <w:vAlign w:val="center"/>
          </w:tcPr>
          <w:p w:rsidR="00DF7A2D" w:rsidRDefault="00997E91" w:rsidP="005856D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color w:val="000000"/>
                <w:sz w:val="20"/>
                <w:szCs w:val="20"/>
              </w:rPr>
              <w:t>1,47</w:t>
            </w:r>
            <w:r w:rsidR="00DF7A2D">
              <w:rPr>
                <w:rFonts w:asciiTheme="minorHAnsi" w:hAnsiTheme="minorHAnsi" w:cstheme="minorHAnsi"/>
                <w:color w:val="000000"/>
                <w:sz w:val="20"/>
                <w:szCs w:val="20"/>
              </w:rPr>
              <w:t>,</w:t>
            </w:r>
            <w:r>
              <w:rPr>
                <w:rFonts w:asciiTheme="minorHAnsi" w:hAnsiTheme="minorHAnsi" w:cstheme="minorHAnsi"/>
                <w:color w:val="000000"/>
                <w:sz w:val="20"/>
                <w:szCs w:val="20"/>
              </w:rPr>
              <w:t>880</w:t>
            </w:r>
          </w:p>
        </w:tc>
        <w:tc>
          <w:tcPr>
            <w:tcW w:w="2402" w:type="pct"/>
          </w:tcPr>
          <w:p w:rsidR="00DF7A2D" w:rsidRDefault="00DF7A2D" w:rsidP="005A7FED">
            <w:pPr>
              <w:pStyle w:val="NormalWeb"/>
              <w:spacing w:before="0" w:beforeAutospacing="0" w:after="0" w:afterAutospacing="0"/>
              <w:rPr>
                <w:rFonts w:ascii="Calibri" w:hAnsi="Calibri" w:cs="Calibri"/>
                <w:color w:val="000000"/>
                <w:sz w:val="20"/>
                <w:szCs w:val="20"/>
              </w:rPr>
            </w:pPr>
            <w:r>
              <w:rPr>
                <w:rFonts w:ascii="Calibri" w:hAnsi="Calibri" w:cs="Calibri"/>
                <w:color w:val="000000"/>
                <w:sz w:val="20"/>
                <w:szCs w:val="20"/>
              </w:rPr>
              <w:t>Printing of EDL list and Do’s and Don’ts for Anti-microbial resistance prevention. Two posters per facility</w:t>
            </w:r>
          </w:p>
        </w:tc>
      </w:tr>
      <w:tr w:rsidR="005A7FED" w:rsidRPr="00A3335B" w:rsidTr="005856D0">
        <w:trPr>
          <w:jc w:val="center"/>
        </w:trPr>
        <w:tc>
          <w:tcPr>
            <w:tcW w:w="250" w:type="pct"/>
            <w:tcMar>
              <w:top w:w="0" w:type="dxa"/>
              <w:left w:w="108" w:type="dxa"/>
              <w:bottom w:w="0" w:type="dxa"/>
              <w:right w:w="108" w:type="dxa"/>
            </w:tcMar>
            <w:vAlign w:val="center"/>
          </w:tcPr>
          <w:p w:rsidR="005A7FED" w:rsidRPr="00484863" w:rsidRDefault="005A7FED" w:rsidP="005856D0">
            <w:pPr>
              <w:pStyle w:val="NormalWeb"/>
              <w:spacing w:before="0" w:beforeAutospacing="0" w:after="0" w:afterAutospacing="0"/>
              <w:jc w:val="center"/>
              <w:rPr>
                <w:rFonts w:asciiTheme="minorHAnsi" w:hAnsiTheme="minorHAnsi" w:cstheme="minorHAnsi"/>
                <w:color w:val="000000"/>
                <w:sz w:val="20"/>
                <w:szCs w:val="20"/>
              </w:rPr>
            </w:pPr>
          </w:p>
        </w:tc>
        <w:tc>
          <w:tcPr>
            <w:tcW w:w="1028" w:type="pct"/>
            <w:tcMar>
              <w:top w:w="0" w:type="dxa"/>
              <w:left w:w="108" w:type="dxa"/>
              <w:bottom w:w="0" w:type="dxa"/>
              <w:right w:w="108" w:type="dxa"/>
            </w:tcMar>
            <w:vAlign w:val="center"/>
            <w:hideMark/>
          </w:tcPr>
          <w:p w:rsidR="005A7FED" w:rsidRPr="00484863" w:rsidRDefault="005A7FED" w:rsidP="005856D0">
            <w:pPr>
              <w:pStyle w:val="NormalWeb"/>
              <w:spacing w:before="0" w:beforeAutospacing="0" w:after="0" w:afterAutospacing="0"/>
              <w:jc w:val="center"/>
              <w:rPr>
                <w:rFonts w:asciiTheme="minorHAnsi" w:hAnsiTheme="minorHAnsi" w:cstheme="minorHAnsi"/>
                <w:color w:val="000000"/>
                <w:sz w:val="20"/>
                <w:szCs w:val="20"/>
              </w:rPr>
            </w:pPr>
            <w:r w:rsidRPr="00484863">
              <w:rPr>
                <w:rFonts w:asciiTheme="minorHAnsi" w:hAnsiTheme="minorHAnsi" w:cstheme="minorHAnsi"/>
                <w:b/>
                <w:bCs/>
                <w:color w:val="000000"/>
                <w:sz w:val="20"/>
                <w:szCs w:val="20"/>
                <w:lang w:val="en-IN"/>
              </w:rPr>
              <w:t>Total</w:t>
            </w:r>
          </w:p>
        </w:tc>
        <w:tc>
          <w:tcPr>
            <w:tcW w:w="1320" w:type="pct"/>
            <w:gridSpan w:val="3"/>
            <w:vAlign w:val="center"/>
          </w:tcPr>
          <w:p w:rsidR="005A7FED" w:rsidRPr="00484863" w:rsidRDefault="009A1D8E" w:rsidP="005856D0">
            <w:pPr>
              <w:pStyle w:val="NormalWeb"/>
              <w:spacing w:before="0" w:beforeAutospacing="0" w:after="0" w:afterAutospacing="0"/>
              <w:jc w:val="center"/>
              <w:rPr>
                <w:rFonts w:asciiTheme="minorHAnsi" w:hAnsiTheme="minorHAnsi" w:cstheme="minorHAnsi"/>
                <w:color w:val="000000"/>
                <w:sz w:val="20"/>
                <w:szCs w:val="20"/>
              </w:rPr>
            </w:pPr>
            <w:r>
              <w:rPr>
                <w:rFonts w:asciiTheme="minorHAnsi" w:hAnsiTheme="minorHAnsi" w:cstheme="minorHAnsi"/>
                <w:color w:val="000000"/>
                <w:sz w:val="20"/>
                <w:szCs w:val="20"/>
              </w:rPr>
              <w:t>21,03,501</w:t>
            </w:r>
          </w:p>
        </w:tc>
        <w:tc>
          <w:tcPr>
            <w:tcW w:w="2402" w:type="pct"/>
          </w:tcPr>
          <w:p w:rsidR="005A7FED" w:rsidRDefault="005A7FED" w:rsidP="005856D0">
            <w:pPr>
              <w:pStyle w:val="NormalWeb"/>
              <w:spacing w:before="0" w:beforeAutospacing="0" w:after="0" w:afterAutospacing="0"/>
              <w:jc w:val="center"/>
              <w:rPr>
                <w:rFonts w:asciiTheme="minorHAnsi" w:hAnsiTheme="minorHAnsi" w:cstheme="minorHAnsi"/>
                <w:color w:val="000000"/>
                <w:sz w:val="20"/>
                <w:szCs w:val="20"/>
              </w:rPr>
            </w:pPr>
          </w:p>
        </w:tc>
      </w:tr>
    </w:tbl>
    <w:p w:rsidR="00817E34" w:rsidRPr="00817E34" w:rsidRDefault="00817E34" w:rsidP="00246A29">
      <w:pPr>
        <w:rPr>
          <w:rFonts w:cstheme="minorHAnsi"/>
          <w:sz w:val="20"/>
          <w:szCs w:val="20"/>
        </w:rPr>
      </w:pPr>
    </w:p>
    <w:sectPr w:rsidR="00817E34" w:rsidRPr="00817E34" w:rsidSect="00C55668">
      <w:footerReference w:type="default" r:id="rId8"/>
      <w:pgSz w:w="11906" w:h="16838" w:code="9"/>
      <w:pgMar w:top="851" w:right="680"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460" w:rsidRDefault="00B07460" w:rsidP="00B35358">
      <w:pPr>
        <w:spacing w:after="0" w:line="240" w:lineRule="auto"/>
      </w:pPr>
      <w:r>
        <w:separator/>
      </w:r>
    </w:p>
  </w:endnote>
  <w:endnote w:type="continuationSeparator" w:id="1">
    <w:p w:rsidR="00B07460" w:rsidRDefault="00B07460" w:rsidP="00B353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aavi">
    <w:panose1 w:val="020B0502040204020203"/>
    <w:charset w:val="00"/>
    <w:family w:val="swiss"/>
    <w:pitch w:val="variable"/>
    <w:sig w:usb0="0002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5060611"/>
      <w:docPartObj>
        <w:docPartGallery w:val="Page Numbers (Bottom of Page)"/>
        <w:docPartUnique/>
      </w:docPartObj>
    </w:sdtPr>
    <w:sdtContent>
      <w:sdt>
        <w:sdtPr>
          <w:id w:val="1728636285"/>
          <w:docPartObj>
            <w:docPartGallery w:val="Page Numbers (Top of Page)"/>
            <w:docPartUnique/>
          </w:docPartObj>
        </w:sdtPr>
        <w:sdtContent>
          <w:p w:rsidR="00B35358" w:rsidRDefault="00B35358">
            <w:pPr>
              <w:pStyle w:val="Footer"/>
              <w:jc w:val="center"/>
            </w:pPr>
            <w:r>
              <w:t xml:space="preserve">Page </w:t>
            </w:r>
            <w:r w:rsidR="0024548F">
              <w:rPr>
                <w:b/>
                <w:bCs/>
                <w:sz w:val="24"/>
                <w:szCs w:val="24"/>
              </w:rPr>
              <w:fldChar w:fldCharType="begin"/>
            </w:r>
            <w:r>
              <w:rPr>
                <w:b/>
                <w:bCs/>
              </w:rPr>
              <w:instrText xml:space="preserve"> PAGE </w:instrText>
            </w:r>
            <w:r w:rsidR="0024548F">
              <w:rPr>
                <w:b/>
                <w:bCs/>
                <w:sz w:val="24"/>
                <w:szCs w:val="24"/>
              </w:rPr>
              <w:fldChar w:fldCharType="separate"/>
            </w:r>
            <w:r w:rsidR="00285AB9">
              <w:rPr>
                <w:b/>
                <w:bCs/>
                <w:noProof/>
              </w:rPr>
              <w:t>1</w:t>
            </w:r>
            <w:r w:rsidR="0024548F">
              <w:rPr>
                <w:b/>
                <w:bCs/>
                <w:sz w:val="24"/>
                <w:szCs w:val="24"/>
              </w:rPr>
              <w:fldChar w:fldCharType="end"/>
            </w:r>
            <w:r>
              <w:t xml:space="preserve"> of </w:t>
            </w:r>
            <w:r w:rsidR="0024548F">
              <w:rPr>
                <w:b/>
                <w:bCs/>
                <w:sz w:val="24"/>
                <w:szCs w:val="24"/>
              </w:rPr>
              <w:fldChar w:fldCharType="begin"/>
            </w:r>
            <w:r>
              <w:rPr>
                <w:b/>
                <w:bCs/>
              </w:rPr>
              <w:instrText xml:space="preserve"> NUMPAGES  </w:instrText>
            </w:r>
            <w:r w:rsidR="0024548F">
              <w:rPr>
                <w:b/>
                <w:bCs/>
                <w:sz w:val="24"/>
                <w:szCs w:val="24"/>
              </w:rPr>
              <w:fldChar w:fldCharType="separate"/>
            </w:r>
            <w:r w:rsidR="00285AB9">
              <w:rPr>
                <w:b/>
                <w:bCs/>
                <w:noProof/>
              </w:rPr>
              <w:t>6</w:t>
            </w:r>
            <w:r w:rsidR="0024548F">
              <w:rPr>
                <w:b/>
                <w:bCs/>
                <w:sz w:val="24"/>
                <w:szCs w:val="24"/>
              </w:rPr>
              <w:fldChar w:fldCharType="end"/>
            </w:r>
          </w:p>
        </w:sdtContent>
      </w:sdt>
    </w:sdtContent>
  </w:sdt>
  <w:p w:rsidR="00B35358" w:rsidRDefault="00B353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460" w:rsidRDefault="00B07460" w:rsidP="00B35358">
      <w:pPr>
        <w:spacing w:after="0" w:line="240" w:lineRule="auto"/>
      </w:pPr>
      <w:r>
        <w:separator/>
      </w:r>
    </w:p>
  </w:footnote>
  <w:footnote w:type="continuationSeparator" w:id="1">
    <w:p w:rsidR="00B07460" w:rsidRDefault="00B07460" w:rsidP="00B35358">
      <w:pPr>
        <w:spacing w:after="0" w:line="240" w:lineRule="auto"/>
      </w:pPr>
      <w:r>
        <w:continuationSeparator/>
      </w:r>
    </w:p>
  </w:footnote>
  <w:footnote w:id="2">
    <w:p w:rsidR="000F2EB8" w:rsidRDefault="000F2EB8" w:rsidP="000F2EB8">
      <w:pPr>
        <w:pStyle w:val="FootnoteText"/>
      </w:pPr>
      <w:r>
        <w:rPr>
          <w:rStyle w:val="FootnoteReference"/>
        </w:rPr>
        <w:footnoteRef/>
      </w:r>
      <w:r>
        <w:t xml:space="preserve"> State HMIS - </w:t>
      </w:r>
      <w:hyperlink r:id="rId1" w:history="1">
        <w:r w:rsidRPr="00385239">
          <w:rPr>
            <w:rStyle w:val="Hyperlink"/>
          </w:rPr>
          <w:t>https://hrms.punjab.gov.in/</w:t>
        </w:r>
      </w:hyperlink>
    </w:p>
  </w:footnote>
  <w:footnote w:id="3">
    <w:p w:rsidR="000F2EB8" w:rsidRDefault="000F2EB8" w:rsidP="000F2EB8">
      <w:pPr>
        <w:pStyle w:val="FootnoteText"/>
      </w:pPr>
      <w:r>
        <w:rPr>
          <w:rStyle w:val="FootnoteReference"/>
        </w:rPr>
        <w:footnoteRef/>
      </w:r>
      <w:r>
        <w:t xml:space="preserve"> State HMIS - </w:t>
      </w:r>
      <w:hyperlink r:id="rId2" w:history="1">
        <w:r w:rsidRPr="00385239">
          <w:rPr>
            <w:rStyle w:val="Hyperlink"/>
          </w:rPr>
          <w:t>https://hrms.punjab.gov.in/</w:t>
        </w:r>
      </w:hyperlink>
    </w:p>
  </w:footnote>
  <w:footnote w:id="4">
    <w:p w:rsidR="000F2EB8" w:rsidRDefault="000F2EB8" w:rsidP="000F2EB8">
      <w:pPr>
        <w:pStyle w:val="FootnoteText"/>
      </w:pPr>
      <w:r>
        <w:rPr>
          <w:rStyle w:val="FootnoteReference"/>
        </w:rPr>
        <w:footnoteRef/>
      </w:r>
      <w:hyperlink r:id="rId3" w:history="1">
        <w:r w:rsidRPr="00385239">
          <w:rPr>
            <w:rStyle w:val="Hyperlink"/>
          </w:rPr>
          <w:t>https://eaushadhipb.in/IMCS/hissso/loginLogin.imcs</w:t>
        </w:r>
      </w:hyperlink>
    </w:p>
  </w:footnote>
  <w:footnote w:id="5">
    <w:p w:rsidR="009C6758" w:rsidRDefault="009C6758">
      <w:pPr>
        <w:pStyle w:val="FootnoteText"/>
      </w:pPr>
      <w:r>
        <w:rPr>
          <w:rStyle w:val="FootnoteReference"/>
        </w:rPr>
        <w:footnoteRef/>
      </w:r>
      <w:hyperlink r:id="rId4" w:history="1">
        <w:r w:rsidRPr="00BF1184">
          <w:rPr>
            <w:rStyle w:val="Hyperlink"/>
          </w:rPr>
          <w:t>https://nhm.gov.in/index1.php?lang=1&amp;level=1&amp;sublinkid=1377&amp;lid=744</w:t>
        </w:r>
      </w:hyperlink>
    </w:p>
  </w:footnote>
  <w:footnote w:id="6">
    <w:p w:rsidR="009C6758" w:rsidRDefault="009C6758" w:rsidP="000F2EB8">
      <w:pPr>
        <w:pStyle w:val="FootnoteText"/>
      </w:pPr>
      <w:r>
        <w:rPr>
          <w:rStyle w:val="FootnoteReference"/>
        </w:rPr>
        <w:footnoteRef/>
      </w:r>
      <w:r>
        <w:t xml:space="preserve"> State HMIS - </w:t>
      </w:r>
      <w:hyperlink r:id="rId5" w:history="1">
        <w:r w:rsidRPr="00385239">
          <w:rPr>
            <w:rStyle w:val="Hyperlink"/>
          </w:rPr>
          <w:t>https://hrms.punjab.gov.in/</w:t>
        </w:r>
      </w:hyperlink>
    </w:p>
  </w:footnote>
  <w:footnote w:id="7">
    <w:p w:rsidR="009C6758" w:rsidRDefault="009C6758" w:rsidP="000F2EB8">
      <w:pPr>
        <w:pStyle w:val="FootnoteText"/>
      </w:pPr>
      <w:r>
        <w:rPr>
          <w:rStyle w:val="FootnoteReference"/>
        </w:rPr>
        <w:footnoteRef/>
      </w:r>
      <w:r>
        <w:t xml:space="preserve"> State HMIS - </w:t>
      </w:r>
      <w:hyperlink r:id="rId6" w:history="1">
        <w:r w:rsidRPr="00385239">
          <w:rPr>
            <w:rStyle w:val="Hyperlink"/>
          </w:rPr>
          <w:t>https://hrms.punjab.gov.in/</w:t>
        </w:r>
      </w:hyperlink>
    </w:p>
  </w:footnote>
  <w:footnote w:id="8">
    <w:p w:rsidR="009C6758" w:rsidRDefault="009C6758" w:rsidP="000F2EB8">
      <w:pPr>
        <w:pStyle w:val="FootnoteText"/>
      </w:pPr>
      <w:r>
        <w:rPr>
          <w:rStyle w:val="FootnoteReference"/>
        </w:rPr>
        <w:footnoteRef/>
      </w:r>
      <w:hyperlink r:id="rId7" w:history="1">
        <w:r w:rsidRPr="00385239">
          <w:rPr>
            <w:rStyle w:val="Hyperlink"/>
          </w:rPr>
          <w:t>https://eaushadhipb.in/IMCS/hissso/loginLogin.imcs</w:t>
        </w:r>
      </w:hyperlink>
    </w:p>
  </w:footnote>
  <w:footnote w:id="9">
    <w:p w:rsidR="009C6758" w:rsidRDefault="009C6758">
      <w:pPr>
        <w:pStyle w:val="FootnoteText"/>
      </w:pPr>
      <w:r>
        <w:rPr>
          <w:rStyle w:val="FootnoteReference"/>
        </w:rPr>
        <w:footnoteRef/>
      </w:r>
      <w:hyperlink r:id="rId8" w:history="1">
        <w:r w:rsidRPr="00BF1184">
          <w:rPr>
            <w:rStyle w:val="Hyperlink"/>
          </w:rPr>
          <w:t>https://nhm.gov.in/index1.php?lang=1&amp;level=1&amp;sublinkid=1377&amp;lid=744</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42EA"/>
    <w:multiLevelType w:val="hybridMultilevel"/>
    <w:tmpl w:val="A728363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nsid w:val="12DA78C0"/>
    <w:multiLevelType w:val="hybridMultilevel"/>
    <w:tmpl w:val="6E729E4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FEA0A03"/>
    <w:multiLevelType w:val="hybridMultilevel"/>
    <w:tmpl w:val="706E93D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nsid w:val="25362FAD"/>
    <w:multiLevelType w:val="hybridMultilevel"/>
    <w:tmpl w:val="85F23814"/>
    <w:lvl w:ilvl="0" w:tplc="40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nsid w:val="265D043D"/>
    <w:multiLevelType w:val="hybridMultilevel"/>
    <w:tmpl w:val="5B846C8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nsid w:val="33864BDC"/>
    <w:multiLevelType w:val="hybridMultilevel"/>
    <w:tmpl w:val="706E93D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nsid w:val="3DF80D28"/>
    <w:multiLevelType w:val="hybridMultilevel"/>
    <w:tmpl w:val="0DC6A2A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3E8D6E7C"/>
    <w:multiLevelType w:val="hybridMultilevel"/>
    <w:tmpl w:val="706E93D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46B019E8"/>
    <w:multiLevelType w:val="hybridMultilevel"/>
    <w:tmpl w:val="5B846C8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nsid w:val="48367D29"/>
    <w:multiLevelType w:val="hybridMultilevel"/>
    <w:tmpl w:val="706E93D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nsid w:val="534544CD"/>
    <w:multiLevelType w:val="hybridMultilevel"/>
    <w:tmpl w:val="083083C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nsid w:val="54674163"/>
    <w:multiLevelType w:val="hybridMultilevel"/>
    <w:tmpl w:val="6A6C474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5B6C0FB4"/>
    <w:multiLevelType w:val="hybridMultilevel"/>
    <w:tmpl w:val="7E66A10C"/>
    <w:lvl w:ilvl="0" w:tplc="B594A0A4">
      <w:start w:val="1"/>
      <w:numFmt w:val="lowerLetter"/>
      <w:lvlText w:val="%1)"/>
      <w:lvlJc w:val="left"/>
      <w:pPr>
        <w:ind w:left="720" w:hanging="360"/>
      </w:pPr>
      <w:rPr>
        <w:rFonts w:hint="default"/>
        <w:b w:val="0"/>
        <w:bCs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0E65EE"/>
    <w:multiLevelType w:val="hybridMultilevel"/>
    <w:tmpl w:val="5B48608C"/>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4">
    <w:nsid w:val="67836B42"/>
    <w:multiLevelType w:val="hybridMultilevel"/>
    <w:tmpl w:val="083083C6"/>
    <w:lvl w:ilvl="0" w:tplc="4009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nsid w:val="6AE36392"/>
    <w:multiLevelType w:val="hybridMultilevel"/>
    <w:tmpl w:val="083083C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9"/>
  </w:num>
  <w:num w:numId="2">
    <w:abstractNumId w:val="12"/>
  </w:num>
  <w:num w:numId="3">
    <w:abstractNumId w:val="0"/>
  </w:num>
  <w:num w:numId="4">
    <w:abstractNumId w:val="6"/>
  </w:num>
  <w:num w:numId="5">
    <w:abstractNumId w:val="14"/>
  </w:num>
  <w:num w:numId="6">
    <w:abstractNumId w:val="15"/>
  </w:num>
  <w:num w:numId="7">
    <w:abstractNumId w:val="10"/>
  </w:num>
  <w:num w:numId="8">
    <w:abstractNumId w:val="2"/>
  </w:num>
  <w:num w:numId="9">
    <w:abstractNumId w:val="13"/>
  </w:num>
  <w:num w:numId="10">
    <w:abstractNumId w:val="5"/>
  </w:num>
  <w:num w:numId="11">
    <w:abstractNumId w:val="4"/>
  </w:num>
  <w:num w:numId="12">
    <w:abstractNumId w:val="1"/>
  </w:num>
  <w:num w:numId="13">
    <w:abstractNumId w:val="3"/>
  </w:num>
  <w:num w:numId="14">
    <w:abstractNumId w:val="11"/>
  </w:num>
  <w:num w:numId="15">
    <w:abstractNumId w:val="8"/>
  </w:num>
  <w:num w:numId="16">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901483"/>
    <w:rsid w:val="00006D09"/>
    <w:rsid w:val="00007051"/>
    <w:rsid w:val="00011C33"/>
    <w:rsid w:val="00011FF3"/>
    <w:rsid w:val="0001300E"/>
    <w:rsid w:val="0001372F"/>
    <w:rsid w:val="000405A7"/>
    <w:rsid w:val="00051073"/>
    <w:rsid w:val="00051074"/>
    <w:rsid w:val="000521C1"/>
    <w:rsid w:val="000638E7"/>
    <w:rsid w:val="000673DB"/>
    <w:rsid w:val="00070F91"/>
    <w:rsid w:val="00073EEF"/>
    <w:rsid w:val="00075E1F"/>
    <w:rsid w:val="00093152"/>
    <w:rsid w:val="00093F1C"/>
    <w:rsid w:val="000A6DA6"/>
    <w:rsid w:val="000A7859"/>
    <w:rsid w:val="000B0717"/>
    <w:rsid w:val="000B3481"/>
    <w:rsid w:val="000C5083"/>
    <w:rsid w:val="000D111D"/>
    <w:rsid w:val="000E2098"/>
    <w:rsid w:val="000E3CC9"/>
    <w:rsid w:val="000E50F1"/>
    <w:rsid w:val="000F1548"/>
    <w:rsid w:val="000F2EB8"/>
    <w:rsid w:val="000F36A0"/>
    <w:rsid w:val="000F7B53"/>
    <w:rsid w:val="00111518"/>
    <w:rsid w:val="0011659A"/>
    <w:rsid w:val="00116F28"/>
    <w:rsid w:val="0012221E"/>
    <w:rsid w:val="00133C0F"/>
    <w:rsid w:val="0013661E"/>
    <w:rsid w:val="00136A9D"/>
    <w:rsid w:val="00191392"/>
    <w:rsid w:val="0019731D"/>
    <w:rsid w:val="001A1F6F"/>
    <w:rsid w:val="001B27FC"/>
    <w:rsid w:val="001B5134"/>
    <w:rsid w:val="001C26F2"/>
    <w:rsid w:val="001D0EAB"/>
    <w:rsid w:val="001D74EF"/>
    <w:rsid w:val="001E73C0"/>
    <w:rsid w:val="001F3DBF"/>
    <w:rsid w:val="00201FA5"/>
    <w:rsid w:val="00213199"/>
    <w:rsid w:val="002248AF"/>
    <w:rsid w:val="002261B9"/>
    <w:rsid w:val="00227A70"/>
    <w:rsid w:val="0023175C"/>
    <w:rsid w:val="0024548F"/>
    <w:rsid w:val="002459F6"/>
    <w:rsid w:val="00246A29"/>
    <w:rsid w:val="00253377"/>
    <w:rsid w:val="00264316"/>
    <w:rsid w:val="00264F92"/>
    <w:rsid w:val="00270493"/>
    <w:rsid w:val="0027155E"/>
    <w:rsid w:val="00273FB8"/>
    <w:rsid w:val="00277724"/>
    <w:rsid w:val="00280AE1"/>
    <w:rsid w:val="00284889"/>
    <w:rsid w:val="00285AB9"/>
    <w:rsid w:val="0029688B"/>
    <w:rsid w:val="002B3C02"/>
    <w:rsid w:val="002B7468"/>
    <w:rsid w:val="002D0903"/>
    <w:rsid w:val="002D5239"/>
    <w:rsid w:val="002D7C6E"/>
    <w:rsid w:val="002E097C"/>
    <w:rsid w:val="002E7239"/>
    <w:rsid w:val="002F149A"/>
    <w:rsid w:val="002F3855"/>
    <w:rsid w:val="002F7CFC"/>
    <w:rsid w:val="00300311"/>
    <w:rsid w:val="00302E36"/>
    <w:rsid w:val="00303803"/>
    <w:rsid w:val="0031062F"/>
    <w:rsid w:val="003107C9"/>
    <w:rsid w:val="00317416"/>
    <w:rsid w:val="003417A1"/>
    <w:rsid w:val="00343762"/>
    <w:rsid w:val="00346116"/>
    <w:rsid w:val="003569EB"/>
    <w:rsid w:val="00357FA7"/>
    <w:rsid w:val="003621CC"/>
    <w:rsid w:val="00366F64"/>
    <w:rsid w:val="00371A2F"/>
    <w:rsid w:val="003A0E67"/>
    <w:rsid w:val="003C16EA"/>
    <w:rsid w:val="003D4B8C"/>
    <w:rsid w:val="003E30FC"/>
    <w:rsid w:val="003F18AE"/>
    <w:rsid w:val="003F2B33"/>
    <w:rsid w:val="004023DA"/>
    <w:rsid w:val="00411D65"/>
    <w:rsid w:val="00415033"/>
    <w:rsid w:val="004279C5"/>
    <w:rsid w:val="00427D42"/>
    <w:rsid w:val="00433139"/>
    <w:rsid w:val="00433D5B"/>
    <w:rsid w:val="004405B2"/>
    <w:rsid w:val="004411D2"/>
    <w:rsid w:val="00456957"/>
    <w:rsid w:val="004710C3"/>
    <w:rsid w:val="0047305A"/>
    <w:rsid w:val="00482D5F"/>
    <w:rsid w:val="00483D7E"/>
    <w:rsid w:val="00490362"/>
    <w:rsid w:val="00492DC7"/>
    <w:rsid w:val="00497D59"/>
    <w:rsid w:val="004A5BE6"/>
    <w:rsid w:val="004A6AA9"/>
    <w:rsid w:val="004B5FB9"/>
    <w:rsid w:val="004C7323"/>
    <w:rsid w:val="004C7AB6"/>
    <w:rsid w:val="004D0A54"/>
    <w:rsid w:val="004F4C68"/>
    <w:rsid w:val="00501FAB"/>
    <w:rsid w:val="00505227"/>
    <w:rsid w:val="00517FA4"/>
    <w:rsid w:val="005200CA"/>
    <w:rsid w:val="00534D12"/>
    <w:rsid w:val="005514DE"/>
    <w:rsid w:val="00563D54"/>
    <w:rsid w:val="0058305B"/>
    <w:rsid w:val="005A16BF"/>
    <w:rsid w:val="005A2878"/>
    <w:rsid w:val="005A3C60"/>
    <w:rsid w:val="005A5CB0"/>
    <w:rsid w:val="005A7FED"/>
    <w:rsid w:val="005B16BF"/>
    <w:rsid w:val="005B2628"/>
    <w:rsid w:val="005B69CA"/>
    <w:rsid w:val="005D217E"/>
    <w:rsid w:val="005D6E51"/>
    <w:rsid w:val="005E310E"/>
    <w:rsid w:val="005E406F"/>
    <w:rsid w:val="005E6B2E"/>
    <w:rsid w:val="00612DE1"/>
    <w:rsid w:val="00622FC6"/>
    <w:rsid w:val="00627A4E"/>
    <w:rsid w:val="00633249"/>
    <w:rsid w:val="0063595E"/>
    <w:rsid w:val="00645CF3"/>
    <w:rsid w:val="006466CF"/>
    <w:rsid w:val="00650ADD"/>
    <w:rsid w:val="00671B63"/>
    <w:rsid w:val="00673BD6"/>
    <w:rsid w:val="006746C6"/>
    <w:rsid w:val="00675F6E"/>
    <w:rsid w:val="00684E41"/>
    <w:rsid w:val="006904B3"/>
    <w:rsid w:val="006A1B35"/>
    <w:rsid w:val="006C1D6C"/>
    <w:rsid w:val="006C2986"/>
    <w:rsid w:val="006D081E"/>
    <w:rsid w:val="006D26B7"/>
    <w:rsid w:val="006D4D65"/>
    <w:rsid w:val="006E209F"/>
    <w:rsid w:val="006F18CB"/>
    <w:rsid w:val="007211A4"/>
    <w:rsid w:val="00726289"/>
    <w:rsid w:val="0075099D"/>
    <w:rsid w:val="00765886"/>
    <w:rsid w:val="00784224"/>
    <w:rsid w:val="007B044A"/>
    <w:rsid w:val="007B1A7B"/>
    <w:rsid w:val="007B3E33"/>
    <w:rsid w:val="007D782E"/>
    <w:rsid w:val="007E7D40"/>
    <w:rsid w:val="007F644B"/>
    <w:rsid w:val="00803919"/>
    <w:rsid w:val="008052F4"/>
    <w:rsid w:val="00806662"/>
    <w:rsid w:val="00810738"/>
    <w:rsid w:val="00813EA8"/>
    <w:rsid w:val="00817E34"/>
    <w:rsid w:val="00820D93"/>
    <w:rsid w:val="00832491"/>
    <w:rsid w:val="008337B1"/>
    <w:rsid w:val="00856A36"/>
    <w:rsid w:val="008676D4"/>
    <w:rsid w:val="00872CB2"/>
    <w:rsid w:val="00882982"/>
    <w:rsid w:val="00885A47"/>
    <w:rsid w:val="00886646"/>
    <w:rsid w:val="00895918"/>
    <w:rsid w:val="008A08B9"/>
    <w:rsid w:val="008A48C4"/>
    <w:rsid w:val="008B3491"/>
    <w:rsid w:val="008C59F4"/>
    <w:rsid w:val="008F3F6D"/>
    <w:rsid w:val="00901483"/>
    <w:rsid w:val="009077EB"/>
    <w:rsid w:val="00912D63"/>
    <w:rsid w:val="00924D6F"/>
    <w:rsid w:val="009266E5"/>
    <w:rsid w:val="00930C6D"/>
    <w:rsid w:val="009437A2"/>
    <w:rsid w:val="00946FAA"/>
    <w:rsid w:val="00955F11"/>
    <w:rsid w:val="00973C5F"/>
    <w:rsid w:val="009765A4"/>
    <w:rsid w:val="0099020A"/>
    <w:rsid w:val="00990398"/>
    <w:rsid w:val="00990B04"/>
    <w:rsid w:val="00994CD0"/>
    <w:rsid w:val="00997A46"/>
    <w:rsid w:val="00997E91"/>
    <w:rsid w:val="009A1D8E"/>
    <w:rsid w:val="009A364F"/>
    <w:rsid w:val="009A5EA2"/>
    <w:rsid w:val="009A6A69"/>
    <w:rsid w:val="009A6DCF"/>
    <w:rsid w:val="009B2513"/>
    <w:rsid w:val="009B7ABD"/>
    <w:rsid w:val="009C363B"/>
    <w:rsid w:val="009C6758"/>
    <w:rsid w:val="009D1BAA"/>
    <w:rsid w:val="009D76A2"/>
    <w:rsid w:val="009E2991"/>
    <w:rsid w:val="009E7ACE"/>
    <w:rsid w:val="009F28EE"/>
    <w:rsid w:val="00A022E0"/>
    <w:rsid w:val="00A119AA"/>
    <w:rsid w:val="00A175B7"/>
    <w:rsid w:val="00A262E8"/>
    <w:rsid w:val="00A41916"/>
    <w:rsid w:val="00A42C80"/>
    <w:rsid w:val="00A47021"/>
    <w:rsid w:val="00A473A5"/>
    <w:rsid w:val="00A63BCD"/>
    <w:rsid w:val="00A64ABE"/>
    <w:rsid w:val="00A65277"/>
    <w:rsid w:val="00A81080"/>
    <w:rsid w:val="00A87E4F"/>
    <w:rsid w:val="00AA1A2D"/>
    <w:rsid w:val="00AB032E"/>
    <w:rsid w:val="00AB1B64"/>
    <w:rsid w:val="00AD4071"/>
    <w:rsid w:val="00AE0189"/>
    <w:rsid w:val="00AE1094"/>
    <w:rsid w:val="00AF4D1B"/>
    <w:rsid w:val="00AF51E8"/>
    <w:rsid w:val="00B07460"/>
    <w:rsid w:val="00B07865"/>
    <w:rsid w:val="00B27369"/>
    <w:rsid w:val="00B30D72"/>
    <w:rsid w:val="00B31B17"/>
    <w:rsid w:val="00B33F35"/>
    <w:rsid w:val="00B35358"/>
    <w:rsid w:val="00B413CB"/>
    <w:rsid w:val="00B43593"/>
    <w:rsid w:val="00B532A3"/>
    <w:rsid w:val="00B546DE"/>
    <w:rsid w:val="00B62047"/>
    <w:rsid w:val="00B67B3B"/>
    <w:rsid w:val="00B67E69"/>
    <w:rsid w:val="00B7280E"/>
    <w:rsid w:val="00B751EC"/>
    <w:rsid w:val="00B87144"/>
    <w:rsid w:val="00BA42CF"/>
    <w:rsid w:val="00BA67B7"/>
    <w:rsid w:val="00BA6995"/>
    <w:rsid w:val="00BA71B9"/>
    <w:rsid w:val="00BB75F7"/>
    <w:rsid w:val="00BD1A5F"/>
    <w:rsid w:val="00BE0128"/>
    <w:rsid w:val="00BE1ECD"/>
    <w:rsid w:val="00BE3022"/>
    <w:rsid w:val="00BE7DDA"/>
    <w:rsid w:val="00BF29EB"/>
    <w:rsid w:val="00C21B17"/>
    <w:rsid w:val="00C27AB8"/>
    <w:rsid w:val="00C349A3"/>
    <w:rsid w:val="00C43186"/>
    <w:rsid w:val="00C55668"/>
    <w:rsid w:val="00C67F42"/>
    <w:rsid w:val="00C750CB"/>
    <w:rsid w:val="00C825D9"/>
    <w:rsid w:val="00CA66B9"/>
    <w:rsid w:val="00CB3C4E"/>
    <w:rsid w:val="00CB4139"/>
    <w:rsid w:val="00CB70F2"/>
    <w:rsid w:val="00CB7D82"/>
    <w:rsid w:val="00CB7F19"/>
    <w:rsid w:val="00CC0330"/>
    <w:rsid w:val="00CC1EC7"/>
    <w:rsid w:val="00CF3D7B"/>
    <w:rsid w:val="00CF6F38"/>
    <w:rsid w:val="00CF71A8"/>
    <w:rsid w:val="00D03C49"/>
    <w:rsid w:val="00D24A30"/>
    <w:rsid w:val="00D2729F"/>
    <w:rsid w:val="00D329B9"/>
    <w:rsid w:val="00D50D5A"/>
    <w:rsid w:val="00D52909"/>
    <w:rsid w:val="00D55A25"/>
    <w:rsid w:val="00D6461C"/>
    <w:rsid w:val="00D6498E"/>
    <w:rsid w:val="00D66E30"/>
    <w:rsid w:val="00D73489"/>
    <w:rsid w:val="00D74AC6"/>
    <w:rsid w:val="00D8380B"/>
    <w:rsid w:val="00D8444C"/>
    <w:rsid w:val="00D87D28"/>
    <w:rsid w:val="00DA2984"/>
    <w:rsid w:val="00DA53DD"/>
    <w:rsid w:val="00DA5E4C"/>
    <w:rsid w:val="00DA7422"/>
    <w:rsid w:val="00DB46F9"/>
    <w:rsid w:val="00DB66C2"/>
    <w:rsid w:val="00DB68F4"/>
    <w:rsid w:val="00DC49E3"/>
    <w:rsid w:val="00DC5570"/>
    <w:rsid w:val="00DC5656"/>
    <w:rsid w:val="00DD66FA"/>
    <w:rsid w:val="00DE23CF"/>
    <w:rsid w:val="00DE245D"/>
    <w:rsid w:val="00DF476A"/>
    <w:rsid w:val="00DF599E"/>
    <w:rsid w:val="00DF7A2D"/>
    <w:rsid w:val="00E05EB7"/>
    <w:rsid w:val="00E13E0C"/>
    <w:rsid w:val="00E21BBA"/>
    <w:rsid w:val="00E232F2"/>
    <w:rsid w:val="00E26DCA"/>
    <w:rsid w:val="00E27BBB"/>
    <w:rsid w:val="00E31E4E"/>
    <w:rsid w:val="00E40F87"/>
    <w:rsid w:val="00E44C79"/>
    <w:rsid w:val="00E464EB"/>
    <w:rsid w:val="00E75AA3"/>
    <w:rsid w:val="00E904C9"/>
    <w:rsid w:val="00E955D2"/>
    <w:rsid w:val="00E97333"/>
    <w:rsid w:val="00EC57AC"/>
    <w:rsid w:val="00ED301D"/>
    <w:rsid w:val="00ED58A8"/>
    <w:rsid w:val="00EF2822"/>
    <w:rsid w:val="00EF43AE"/>
    <w:rsid w:val="00EF6ADD"/>
    <w:rsid w:val="00F07EA5"/>
    <w:rsid w:val="00F14C0D"/>
    <w:rsid w:val="00F201B0"/>
    <w:rsid w:val="00F233BF"/>
    <w:rsid w:val="00F2591C"/>
    <w:rsid w:val="00F332A1"/>
    <w:rsid w:val="00F364A1"/>
    <w:rsid w:val="00F41731"/>
    <w:rsid w:val="00F4279D"/>
    <w:rsid w:val="00F42E87"/>
    <w:rsid w:val="00F5102D"/>
    <w:rsid w:val="00F5164C"/>
    <w:rsid w:val="00F518FF"/>
    <w:rsid w:val="00F52469"/>
    <w:rsid w:val="00F737A4"/>
    <w:rsid w:val="00F7595A"/>
    <w:rsid w:val="00F85DB5"/>
    <w:rsid w:val="00F94AFC"/>
    <w:rsid w:val="00F96C5C"/>
    <w:rsid w:val="00FA7BD4"/>
    <w:rsid w:val="00FC202A"/>
    <w:rsid w:val="00FC2304"/>
    <w:rsid w:val="00FD70E8"/>
    <w:rsid w:val="00FE3115"/>
    <w:rsid w:val="00FF02AD"/>
    <w:rsid w:val="00FF1CE4"/>
  </w:rsids>
  <m:mathPr>
    <m:mathFont m:val="Cambria Math"/>
    <m:brkBin m:val="before"/>
    <m:brkBinSub m:val="--"/>
    <m:smallFrac/>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483"/>
    <w:rPr>
      <w:szCs w:val="22"/>
      <w:lang w:bidi="p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1483"/>
    <w:pPr>
      <w:spacing w:after="0" w:line="240" w:lineRule="auto"/>
    </w:pPr>
    <w:rPr>
      <w:szCs w:val="22"/>
      <w:lang w:bidi="p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01483"/>
    <w:pPr>
      <w:ind w:left="720"/>
      <w:contextualSpacing/>
    </w:pPr>
  </w:style>
  <w:style w:type="paragraph" w:styleId="NormalWeb">
    <w:name w:val="Normal (Web)"/>
    <w:basedOn w:val="Normal"/>
    <w:uiPriority w:val="99"/>
    <w:unhideWhenUsed/>
    <w:rsid w:val="003569E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Emphasis">
    <w:name w:val="Emphasis"/>
    <w:basedOn w:val="DefaultParagraphFont"/>
    <w:uiPriority w:val="20"/>
    <w:qFormat/>
    <w:rsid w:val="003569EB"/>
    <w:rPr>
      <w:i/>
      <w:iCs/>
    </w:rPr>
  </w:style>
  <w:style w:type="character" w:styleId="Hyperlink">
    <w:name w:val="Hyperlink"/>
    <w:basedOn w:val="DefaultParagraphFont"/>
    <w:uiPriority w:val="99"/>
    <w:unhideWhenUsed/>
    <w:rsid w:val="003569EB"/>
    <w:rPr>
      <w:color w:val="0000FF"/>
      <w:u w:val="single"/>
    </w:rPr>
  </w:style>
  <w:style w:type="character" w:styleId="CommentReference">
    <w:name w:val="annotation reference"/>
    <w:basedOn w:val="DefaultParagraphFont"/>
    <w:uiPriority w:val="99"/>
    <w:semiHidden/>
    <w:unhideWhenUsed/>
    <w:rsid w:val="00820D93"/>
    <w:rPr>
      <w:sz w:val="16"/>
      <w:szCs w:val="16"/>
    </w:rPr>
  </w:style>
  <w:style w:type="paragraph" w:styleId="CommentText">
    <w:name w:val="annotation text"/>
    <w:basedOn w:val="Normal"/>
    <w:link w:val="CommentTextChar"/>
    <w:uiPriority w:val="99"/>
    <w:unhideWhenUsed/>
    <w:rsid w:val="00820D93"/>
    <w:pPr>
      <w:spacing w:line="240" w:lineRule="auto"/>
    </w:pPr>
    <w:rPr>
      <w:sz w:val="20"/>
      <w:szCs w:val="20"/>
      <w:lang w:bidi="ar-SA"/>
    </w:rPr>
  </w:style>
  <w:style w:type="character" w:customStyle="1" w:styleId="CommentTextChar">
    <w:name w:val="Comment Text Char"/>
    <w:basedOn w:val="DefaultParagraphFont"/>
    <w:link w:val="CommentText"/>
    <w:uiPriority w:val="99"/>
    <w:rsid w:val="00820D93"/>
    <w:rPr>
      <w:sz w:val="20"/>
      <w:lang w:bidi="ar-SA"/>
    </w:rPr>
  </w:style>
  <w:style w:type="paragraph" w:styleId="BalloonText">
    <w:name w:val="Balloon Text"/>
    <w:basedOn w:val="Normal"/>
    <w:link w:val="BalloonTextChar"/>
    <w:uiPriority w:val="99"/>
    <w:semiHidden/>
    <w:unhideWhenUsed/>
    <w:rsid w:val="00820D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D93"/>
    <w:rPr>
      <w:rFonts w:ascii="Tahoma" w:hAnsi="Tahoma" w:cs="Tahoma"/>
      <w:sz w:val="16"/>
      <w:szCs w:val="16"/>
      <w:lang w:bidi="pa-IN"/>
    </w:rPr>
  </w:style>
  <w:style w:type="paragraph" w:styleId="Header">
    <w:name w:val="header"/>
    <w:basedOn w:val="Normal"/>
    <w:link w:val="HeaderChar"/>
    <w:uiPriority w:val="99"/>
    <w:unhideWhenUsed/>
    <w:rsid w:val="00B353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5358"/>
    <w:rPr>
      <w:szCs w:val="22"/>
      <w:lang w:bidi="pa-IN"/>
    </w:rPr>
  </w:style>
  <w:style w:type="paragraph" w:styleId="Footer">
    <w:name w:val="footer"/>
    <w:basedOn w:val="Normal"/>
    <w:link w:val="FooterChar"/>
    <w:uiPriority w:val="99"/>
    <w:unhideWhenUsed/>
    <w:rsid w:val="00B353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5358"/>
    <w:rPr>
      <w:szCs w:val="22"/>
      <w:lang w:bidi="pa-IN"/>
    </w:rPr>
  </w:style>
  <w:style w:type="paragraph" w:styleId="FootnoteText">
    <w:name w:val="footnote text"/>
    <w:basedOn w:val="Normal"/>
    <w:link w:val="FootnoteTextChar"/>
    <w:uiPriority w:val="99"/>
    <w:semiHidden/>
    <w:unhideWhenUsed/>
    <w:rsid w:val="00F417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1731"/>
    <w:rPr>
      <w:sz w:val="20"/>
      <w:lang w:bidi="pa-IN"/>
    </w:rPr>
  </w:style>
  <w:style w:type="character" w:styleId="FootnoteReference">
    <w:name w:val="footnote reference"/>
    <w:basedOn w:val="DefaultParagraphFont"/>
    <w:uiPriority w:val="99"/>
    <w:semiHidden/>
    <w:unhideWhenUsed/>
    <w:rsid w:val="00F41731"/>
    <w:rPr>
      <w:vertAlign w:val="superscript"/>
    </w:rPr>
  </w:style>
  <w:style w:type="character" w:customStyle="1" w:styleId="UnresolvedMention">
    <w:name w:val="Unresolved Mention"/>
    <w:basedOn w:val="DefaultParagraphFont"/>
    <w:uiPriority w:val="99"/>
    <w:semiHidden/>
    <w:unhideWhenUsed/>
    <w:rsid w:val="00BE302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35608806">
      <w:bodyDiv w:val="1"/>
      <w:marLeft w:val="0"/>
      <w:marRight w:val="0"/>
      <w:marTop w:val="0"/>
      <w:marBottom w:val="0"/>
      <w:divBdr>
        <w:top w:val="none" w:sz="0" w:space="0" w:color="auto"/>
        <w:left w:val="none" w:sz="0" w:space="0" w:color="auto"/>
        <w:bottom w:val="none" w:sz="0" w:space="0" w:color="auto"/>
        <w:right w:val="none" w:sz="0" w:space="0" w:color="auto"/>
      </w:divBdr>
    </w:div>
    <w:div w:id="595871019">
      <w:bodyDiv w:val="1"/>
      <w:marLeft w:val="0"/>
      <w:marRight w:val="0"/>
      <w:marTop w:val="0"/>
      <w:marBottom w:val="0"/>
      <w:divBdr>
        <w:top w:val="none" w:sz="0" w:space="0" w:color="auto"/>
        <w:left w:val="none" w:sz="0" w:space="0" w:color="auto"/>
        <w:bottom w:val="none" w:sz="0" w:space="0" w:color="auto"/>
        <w:right w:val="none" w:sz="0" w:space="0" w:color="auto"/>
      </w:divBdr>
    </w:div>
    <w:div w:id="670645453">
      <w:bodyDiv w:val="1"/>
      <w:marLeft w:val="0"/>
      <w:marRight w:val="0"/>
      <w:marTop w:val="0"/>
      <w:marBottom w:val="0"/>
      <w:divBdr>
        <w:top w:val="none" w:sz="0" w:space="0" w:color="auto"/>
        <w:left w:val="none" w:sz="0" w:space="0" w:color="auto"/>
        <w:bottom w:val="none" w:sz="0" w:space="0" w:color="auto"/>
        <w:right w:val="none" w:sz="0" w:space="0" w:color="auto"/>
      </w:divBdr>
    </w:div>
    <w:div w:id="998073919">
      <w:bodyDiv w:val="1"/>
      <w:marLeft w:val="0"/>
      <w:marRight w:val="0"/>
      <w:marTop w:val="0"/>
      <w:marBottom w:val="0"/>
      <w:divBdr>
        <w:top w:val="none" w:sz="0" w:space="0" w:color="auto"/>
        <w:left w:val="none" w:sz="0" w:space="0" w:color="auto"/>
        <w:bottom w:val="none" w:sz="0" w:space="0" w:color="auto"/>
        <w:right w:val="none" w:sz="0" w:space="0" w:color="auto"/>
      </w:divBdr>
    </w:div>
    <w:div w:id="1229419916">
      <w:bodyDiv w:val="1"/>
      <w:marLeft w:val="0"/>
      <w:marRight w:val="0"/>
      <w:marTop w:val="0"/>
      <w:marBottom w:val="0"/>
      <w:divBdr>
        <w:top w:val="none" w:sz="0" w:space="0" w:color="auto"/>
        <w:left w:val="none" w:sz="0" w:space="0" w:color="auto"/>
        <w:bottom w:val="none" w:sz="0" w:space="0" w:color="auto"/>
        <w:right w:val="none" w:sz="0" w:space="0" w:color="auto"/>
      </w:divBdr>
    </w:div>
    <w:div w:id="1595477914">
      <w:bodyDiv w:val="1"/>
      <w:marLeft w:val="0"/>
      <w:marRight w:val="0"/>
      <w:marTop w:val="0"/>
      <w:marBottom w:val="0"/>
      <w:divBdr>
        <w:top w:val="none" w:sz="0" w:space="0" w:color="auto"/>
        <w:left w:val="none" w:sz="0" w:space="0" w:color="auto"/>
        <w:bottom w:val="none" w:sz="0" w:space="0" w:color="auto"/>
        <w:right w:val="none" w:sz="0" w:space="0" w:color="auto"/>
      </w:divBdr>
    </w:div>
    <w:div w:id="1863661462">
      <w:bodyDiv w:val="1"/>
      <w:marLeft w:val="0"/>
      <w:marRight w:val="0"/>
      <w:marTop w:val="0"/>
      <w:marBottom w:val="0"/>
      <w:divBdr>
        <w:top w:val="none" w:sz="0" w:space="0" w:color="auto"/>
        <w:left w:val="none" w:sz="0" w:space="0" w:color="auto"/>
        <w:bottom w:val="none" w:sz="0" w:space="0" w:color="auto"/>
        <w:right w:val="none" w:sz="0" w:space="0" w:color="auto"/>
      </w:divBdr>
    </w:div>
    <w:div w:id="1957833553">
      <w:bodyDiv w:val="1"/>
      <w:marLeft w:val="0"/>
      <w:marRight w:val="0"/>
      <w:marTop w:val="0"/>
      <w:marBottom w:val="0"/>
      <w:divBdr>
        <w:top w:val="none" w:sz="0" w:space="0" w:color="auto"/>
        <w:left w:val="none" w:sz="0" w:space="0" w:color="auto"/>
        <w:bottom w:val="none" w:sz="0" w:space="0" w:color="auto"/>
        <w:right w:val="none" w:sz="0" w:space="0" w:color="auto"/>
      </w:divBdr>
      <w:divsChild>
        <w:div w:id="79698804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nhm.gov.in/index1.php?lang=1&amp;level=1&amp;sublinkid=1377&amp;lid=744" TargetMode="External"/><Relationship Id="rId3" Type="http://schemas.openxmlformats.org/officeDocument/2006/relationships/hyperlink" Target="https://eaushadhipb.in/IMCS/hissso/loginLogin.imcs" TargetMode="External"/><Relationship Id="rId7" Type="http://schemas.openxmlformats.org/officeDocument/2006/relationships/hyperlink" Target="https://eaushadhipb.in/IMCS/hissso/loginLogin.imcs" TargetMode="External"/><Relationship Id="rId2" Type="http://schemas.openxmlformats.org/officeDocument/2006/relationships/hyperlink" Target="https://hrms.punjab.gov.in/" TargetMode="External"/><Relationship Id="rId1" Type="http://schemas.openxmlformats.org/officeDocument/2006/relationships/hyperlink" Target="https://hrms.punjab.gov.in/" TargetMode="External"/><Relationship Id="rId6" Type="http://schemas.openxmlformats.org/officeDocument/2006/relationships/hyperlink" Target="https://hrms.punjab.gov.in/" TargetMode="External"/><Relationship Id="rId5" Type="http://schemas.openxmlformats.org/officeDocument/2006/relationships/hyperlink" Target="https://hrms.punjab.gov.in/" TargetMode="External"/><Relationship Id="rId4" Type="http://schemas.openxmlformats.org/officeDocument/2006/relationships/hyperlink" Target="https://nhm.gov.in/index1.php?lang=1&amp;level=1&amp;sublinkid=1377&amp;lid=7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E3678-A95A-4B20-8028-D083D5333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6</Pages>
  <Words>1555</Words>
  <Characters>8869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DCSHA_HOSHIARPUR</cp:lastModifiedBy>
  <cp:revision>282</cp:revision>
  <cp:lastPrinted>2023-01-13T05:22:00Z</cp:lastPrinted>
  <dcterms:created xsi:type="dcterms:W3CDTF">2022-12-08T13:25:00Z</dcterms:created>
  <dcterms:modified xsi:type="dcterms:W3CDTF">2023-10-26T12:40:00Z</dcterms:modified>
</cp:coreProperties>
</file>